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70FE9" w14:textId="77777777" w:rsidR="00234C35" w:rsidRPr="00234C35" w:rsidRDefault="009435C1" w:rsidP="00234C35">
      <w:pPr>
        <w:jc w:val="center"/>
        <w:rPr>
          <w:b/>
          <w:sz w:val="28"/>
          <w:szCs w:val="28"/>
          <w:lang w:val="en-US"/>
        </w:rPr>
      </w:pPr>
      <w:r w:rsidRPr="00234C35">
        <w:rPr>
          <w:b/>
          <w:sz w:val="28"/>
          <w:szCs w:val="28"/>
          <w:lang w:val="en-US"/>
        </w:rPr>
        <w:t>A</w:t>
      </w:r>
      <w:r w:rsidR="00234C35" w:rsidRPr="00234C35">
        <w:rPr>
          <w:b/>
          <w:sz w:val="28"/>
          <w:szCs w:val="28"/>
          <w:lang w:val="en-US"/>
        </w:rPr>
        <w:t>ccessible Product Design Alliance</w:t>
      </w:r>
    </w:p>
    <w:p w14:paraId="126A3085" w14:textId="77777777" w:rsidR="007170B2" w:rsidRPr="00234C35" w:rsidRDefault="009435C1" w:rsidP="00234C35">
      <w:pPr>
        <w:jc w:val="center"/>
        <w:rPr>
          <w:b/>
          <w:sz w:val="28"/>
          <w:szCs w:val="28"/>
          <w:lang w:val="en-US"/>
        </w:rPr>
      </w:pPr>
      <w:r w:rsidRPr="00234C35">
        <w:rPr>
          <w:b/>
          <w:sz w:val="28"/>
          <w:szCs w:val="28"/>
          <w:lang w:val="en-US"/>
        </w:rPr>
        <w:t>POSITION STATEMENT</w:t>
      </w:r>
    </w:p>
    <w:p w14:paraId="0ED40DC0" w14:textId="77777777" w:rsidR="00C9440B" w:rsidRPr="00646F7A" w:rsidRDefault="00C9440B" w:rsidP="00243E80">
      <w:pPr>
        <w:rPr>
          <w:b/>
          <w:sz w:val="28"/>
          <w:szCs w:val="28"/>
          <w:lang w:val="en-US"/>
        </w:rPr>
      </w:pPr>
      <w:r w:rsidRPr="00646F7A">
        <w:rPr>
          <w:b/>
          <w:sz w:val="28"/>
          <w:szCs w:val="28"/>
          <w:lang w:val="en-US"/>
        </w:rPr>
        <w:t xml:space="preserve">Key points </w:t>
      </w:r>
    </w:p>
    <w:p w14:paraId="78203166" w14:textId="77777777" w:rsidR="00621571" w:rsidRDefault="007627FB" w:rsidP="00243E80">
      <w:pPr>
        <w:rPr>
          <w:lang w:val="en-US"/>
        </w:rPr>
      </w:pPr>
      <w:r>
        <w:rPr>
          <w:lang w:val="en-US"/>
        </w:rPr>
        <w:t xml:space="preserve">Accessible design is a process that aims to make </w:t>
      </w:r>
      <w:r w:rsidR="00B501EB">
        <w:rPr>
          <w:lang w:val="en-US"/>
        </w:rPr>
        <w:t xml:space="preserve">products and packaging </w:t>
      </w:r>
      <w:r>
        <w:rPr>
          <w:lang w:val="en-US"/>
        </w:rPr>
        <w:t>that are easier to use for</w:t>
      </w:r>
      <w:r w:rsidR="00B501EB">
        <w:rPr>
          <w:lang w:val="en-US"/>
        </w:rPr>
        <w:t xml:space="preserve"> all potential consumers, regardl</w:t>
      </w:r>
      <w:r w:rsidR="00243E80">
        <w:rPr>
          <w:lang w:val="en-US"/>
        </w:rPr>
        <w:t xml:space="preserve">ess of their level of ability. </w:t>
      </w:r>
    </w:p>
    <w:p w14:paraId="06140E2B" w14:textId="77777777" w:rsidR="00E239AE" w:rsidRDefault="00621571" w:rsidP="00621571">
      <w:pPr>
        <w:rPr>
          <w:lang w:val="en-US"/>
        </w:rPr>
      </w:pPr>
      <w:r>
        <w:rPr>
          <w:lang w:val="en-US"/>
        </w:rPr>
        <w:t xml:space="preserve">A significant number of people have impairments that limit their ability to </w:t>
      </w:r>
      <w:r w:rsidR="007B4BF3">
        <w:rPr>
          <w:lang w:val="en-US"/>
        </w:rPr>
        <w:t xml:space="preserve">open, </w:t>
      </w:r>
      <w:r>
        <w:rPr>
          <w:lang w:val="en-US"/>
        </w:rPr>
        <w:t>use and enjoy standard consumer products, including poor vision, issues with mobility and limited strength and dexterity.</w:t>
      </w:r>
      <w:r w:rsidR="00726D2D">
        <w:rPr>
          <w:lang w:val="en-US"/>
        </w:rPr>
        <w:t xml:space="preserve"> </w:t>
      </w:r>
      <w:r w:rsidR="00E239AE">
        <w:rPr>
          <w:lang w:val="en-US"/>
        </w:rPr>
        <w:t>I</w:t>
      </w:r>
      <w:r w:rsidR="00C9440B">
        <w:rPr>
          <w:lang w:val="en-US"/>
        </w:rPr>
        <w:t>n addition, p</w:t>
      </w:r>
      <w:r w:rsidR="00C9440B" w:rsidRPr="00621571">
        <w:rPr>
          <w:lang w:val="en-US"/>
        </w:rPr>
        <w:t xml:space="preserve">opulation </w:t>
      </w:r>
      <w:proofErr w:type="gramStart"/>
      <w:r w:rsidR="00C9440B" w:rsidRPr="00621571">
        <w:rPr>
          <w:lang w:val="en-US"/>
        </w:rPr>
        <w:t>ageing</w:t>
      </w:r>
      <w:proofErr w:type="gramEnd"/>
      <w:r w:rsidR="00C9440B" w:rsidRPr="00621571">
        <w:rPr>
          <w:lang w:val="en-US"/>
        </w:rPr>
        <w:t xml:space="preserve"> and the increasing prevalence of chronic conditions means that more and more people are being significantly </w:t>
      </w:r>
      <w:r w:rsidR="00C9440B">
        <w:rPr>
          <w:lang w:val="en-US"/>
        </w:rPr>
        <w:t>affected</w:t>
      </w:r>
      <w:r w:rsidR="00C9440B" w:rsidRPr="00621571">
        <w:rPr>
          <w:lang w:val="en-US"/>
        </w:rPr>
        <w:t xml:space="preserve"> by accessibility issues.</w:t>
      </w:r>
      <w:r w:rsidR="00C9440B">
        <w:rPr>
          <w:lang w:val="en-US"/>
        </w:rPr>
        <w:t xml:space="preserve"> </w:t>
      </w:r>
      <w:r w:rsidR="00C9440B" w:rsidRPr="00C9440B">
        <w:rPr>
          <w:lang w:val="en-US"/>
        </w:rPr>
        <w:t xml:space="preserve"> </w:t>
      </w:r>
      <w:r w:rsidR="00EF05A3">
        <w:rPr>
          <w:lang w:val="en-US"/>
        </w:rPr>
        <w:t>Those affected include:</w:t>
      </w:r>
    </w:p>
    <w:p w14:paraId="4A7041B1" w14:textId="77777777" w:rsidR="00EF05A3" w:rsidRDefault="00EF05A3" w:rsidP="00EF05A3">
      <w:pPr>
        <w:pStyle w:val="ListParagraph"/>
        <w:numPr>
          <w:ilvl w:val="0"/>
          <w:numId w:val="9"/>
        </w:numPr>
        <w:rPr>
          <w:lang w:val="en-US"/>
        </w:rPr>
      </w:pPr>
      <w:r>
        <w:rPr>
          <w:lang w:val="en-US"/>
        </w:rPr>
        <w:t>More than four million Australians with disability</w:t>
      </w:r>
    </w:p>
    <w:p w14:paraId="4F94F45F" w14:textId="1DB8B383" w:rsidR="00EF05A3" w:rsidRDefault="00EF05A3" w:rsidP="00EF05A3">
      <w:pPr>
        <w:pStyle w:val="ListParagraph"/>
        <w:numPr>
          <w:ilvl w:val="0"/>
          <w:numId w:val="9"/>
        </w:numPr>
        <w:rPr>
          <w:lang w:val="en-US"/>
        </w:rPr>
      </w:pPr>
      <w:r>
        <w:rPr>
          <w:lang w:val="en-US"/>
        </w:rPr>
        <w:t xml:space="preserve">More than </w:t>
      </w:r>
      <w:r w:rsidR="00ED7992">
        <w:rPr>
          <w:lang w:val="en-US"/>
        </w:rPr>
        <w:t>seven</w:t>
      </w:r>
      <w:r>
        <w:rPr>
          <w:lang w:val="en-US"/>
        </w:rPr>
        <w:t xml:space="preserve"> million </w:t>
      </w:r>
      <w:r w:rsidR="005042DC">
        <w:rPr>
          <w:lang w:val="en-US"/>
        </w:rPr>
        <w:t>Australians</w:t>
      </w:r>
      <w:r>
        <w:rPr>
          <w:lang w:val="en-US"/>
        </w:rPr>
        <w:t xml:space="preserve"> with chronic conditions associated with disability</w:t>
      </w:r>
    </w:p>
    <w:p w14:paraId="206FCEE2" w14:textId="77777777" w:rsidR="00DC4609" w:rsidRDefault="005042DC" w:rsidP="008F299A">
      <w:pPr>
        <w:pStyle w:val="ListParagraph"/>
        <w:numPr>
          <w:ilvl w:val="0"/>
          <w:numId w:val="9"/>
        </w:numPr>
        <w:ind w:left="714" w:hanging="357"/>
        <w:contextualSpacing w:val="0"/>
        <w:rPr>
          <w:lang w:val="en-US"/>
        </w:rPr>
      </w:pPr>
      <w:r>
        <w:rPr>
          <w:lang w:val="en-US"/>
        </w:rPr>
        <w:t>Older people, including 4 million Australians aged 65 years or over</w:t>
      </w:r>
      <w:r w:rsidR="008F299A">
        <w:rPr>
          <w:lang w:val="en-US"/>
        </w:rPr>
        <w:t>.</w:t>
      </w:r>
    </w:p>
    <w:p w14:paraId="7C607CEE" w14:textId="77777777" w:rsidR="00AF6953" w:rsidRDefault="00AF6953" w:rsidP="00AF6953">
      <w:pPr>
        <w:rPr>
          <w:lang w:val="en-US"/>
        </w:rPr>
      </w:pPr>
      <w:r>
        <w:rPr>
          <w:lang w:val="en-US"/>
        </w:rPr>
        <w:t>People without impairments also struggle with difficult to use products and packaging.</w:t>
      </w:r>
      <w:r>
        <w:rPr>
          <w:rStyle w:val="EndnoteReference"/>
          <w:lang w:val="en-US"/>
        </w:rPr>
        <w:endnoteReference w:id="1"/>
      </w:r>
      <w:r>
        <w:rPr>
          <w:lang w:val="en-US"/>
        </w:rPr>
        <w:t xml:space="preserve"> </w:t>
      </w:r>
      <w:r>
        <w:rPr>
          <w:rStyle w:val="EndnoteReference"/>
          <w:lang w:val="en-US"/>
        </w:rPr>
        <w:endnoteReference w:id="2"/>
      </w:r>
    </w:p>
    <w:p w14:paraId="1CA5A595" w14:textId="77777777" w:rsidR="00C9440B" w:rsidRDefault="00C9440B" w:rsidP="00621571">
      <w:pPr>
        <w:rPr>
          <w:lang w:val="en-US"/>
        </w:rPr>
      </w:pPr>
      <w:r w:rsidRPr="00726D2D">
        <w:rPr>
          <w:lang w:val="en-US"/>
        </w:rPr>
        <w:t>Inaccessible products and packaging can cause unnecessary physical pain or discomfort, stress and frustration, and can undermine a person’s</w:t>
      </w:r>
      <w:r w:rsidR="00E239AE">
        <w:rPr>
          <w:lang w:val="en-US"/>
        </w:rPr>
        <w:t xml:space="preserve"> health,</w:t>
      </w:r>
      <w:r w:rsidRPr="00726D2D">
        <w:rPr>
          <w:lang w:val="en-US"/>
        </w:rPr>
        <w:t xml:space="preserve"> independence and self-esteem.</w:t>
      </w:r>
      <w:r w:rsidR="007B4BF3">
        <w:rPr>
          <w:lang w:val="en-US"/>
        </w:rPr>
        <w:t xml:space="preserve"> In some </w:t>
      </w:r>
      <w:proofErr w:type="gramStart"/>
      <w:r w:rsidR="007B4BF3">
        <w:rPr>
          <w:lang w:val="en-US"/>
        </w:rPr>
        <w:t>cases</w:t>
      </w:r>
      <w:proofErr w:type="gramEnd"/>
      <w:r w:rsidR="007B4BF3">
        <w:rPr>
          <w:lang w:val="en-US"/>
        </w:rPr>
        <w:t xml:space="preserve"> people </w:t>
      </w:r>
      <w:r w:rsidR="00C97A63">
        <w:rPr>
          <w:lang w:val="en-US"/>
        </w:rPr>
        <w:t>may</w:t>
      </w:r>
      <w:r w:rsidR="007B4BF3">
        <w:rPr>
          <w:lang w:val="en-US"/>
        </w:rPr>
        <w:t xml:space="preserve"> injure themselves from using sharp objects to </w:t>
      </w:r>
      <w:r w:rsidR="00DC4609">
        <w:rPr>
          <w:lang w:val="en-US"/>
        </w:rPr>
        <w:t xml:space="preserve">open packaging to </w:t>
      </w:r>
      <w:r w:rsidR="007B4BF3">
        <w:rPr>
          <w:lang w:val="en-US"/>
        </w:rPr>
        <w:t>access products.</w:t>
      </w:r>
    </w:p>
    <w:p w14:paraId="19CE06FE" w14:textId="77777777" w:rsidR="002A7B69" w:rsidRDefault="00E239AE">
      <w:pPr>
        <w:rPr>
          <w:lang w:val="en-US"/>
        </w:rPr>
      </w:pPr>
      <w:r>
        <w:rPr>
          <w:lang w:val="en-US"/>
        </w:rPr>
        <w:t xml:space="preserve">Measures to improve the availability of accessible products and packaging </w:t>
      </w:r>
      <w:r w:rsidR="00AF6953">
        <w:rPr>
          <w:lang w:val="en-US"/>
        </w:rPr>
        <w:t xml:space="preserve">offer new opportunities for government and industry </w:t>
      </w:r>
      <w:r>
        <w:rPr>
          <w:lang w:val="en-US"/>
        </w:rPr>
        <w:t>to support inclusivity</w:t>
      </w:r>
      <w:r w:rsidR="00D14C08">
        <w:rPr>
          <w:lang w:val="en-US"/>
        </w:rPr>
        <w:t xml:space="preserve"> and independence for people with disability </w:t>
      </w:r>
      <w:r w:rsidR="00A75780">
        <w:rPr>
          <w:lang w:val="en-US"/>
        </w:rPr>
        <w:t xml:space="preserve">as well as </w:t>
      </w:r>
      <w:r w:rsidR="00D14C08">
        <w:rPr>
          <w:lang w:val="en-US"/>
        </w:rPr>
        <w:t>a more positive consumer experience for all.</w:t>
      </w:r>
      <w:r w:rsidR="002A7B69">
        <w:rPr>
          <w:lang w:val="en-US"/>
        </w:rPr>
        <w:t xml:space="preserve"> </w:t>
      </w:r>
    </w:p>
    <w:p w14:paraId="0FEF0B27" w14:textId="77777777" w:rsidR="00880135" w:rsidRPr="00880135" w:rsidRDefault="00880135" w:rsidP="00880135">
      <w:pPr>
        <w:spacing w:after="0" w:line="240" w:lineRule="auto"/>
        <w:rPr>
          <w:lang w:val="en-US"/>
        </w:rPr>
      </w:pPr>
      <w:r w:rsidRPr="00880135">
        <w:rPr>
          <w:lang w:val="en-US"/>
        </w:rPr>
        <w:t xml:space="preserve">The Accessible Product Design Alliance has been established to advocate to government and industry to improve access to products and packaging that are easy to use for consumers with physical and other impairments.  The objectives of the Alliance are to support the development of more inclusive product and packaging design through awareness raising, research, and the adoption by government and industry of systemic changes to policy and standards that incorporate accessible design principles. </w:t>
      </w:r>
    </w:p>
    <w:p w14:paraId="608B9894" w14:textId="77777777" w:rsidR="00F73711" w:rsidRPr="002A7B69" w:rsidRDefault="00F73711" w:rsidP="00F73711">
      <w:pPr>
        <w:pStyle w:val="ListParagraph"/>
        <w:rPr>
          <w:lang w:val="en-US"/>
        </w:rPr>
      </w:pPr>
    </w:p>
    <w:p w14:paraId="6669558E" w14:textId="77777777" w:rsidR="00AF6953" w:rsidRPr="00F73711" w:rsidRDefault="004D6C3F" w:rsidP="00F73711">
      <w:pPr>
        <w:pStyle w:val="ListParagraph"/>
        <w:numPr>
          <w:ilvl w:val="0"/>
          <w:numId w:val="7"/>
        </w:numPr>
        <w:rPr>
          <w:b/>
          <w:sz w:val="28"/>
          <w:szCs w:val="28"/>
          <w:lang w:val="en-US"/>
        </w:rPr>
      </w:pPr>
      <w:r w:rsidRPr="00F73711">
        <w:rPr>
          <w:b/>
          <w:sz w:val="28"/>
          <w:szCs w:val="28"/>
          <w:lang w:val="en-US"/>
        </w:rPr>
        <w:t>Why is accessible design important?</w:t>
      </w:r>
    </w:p>
    <w:p w14:paraId="72042916" w14:textId="77777777" w:rsidR="00DD15AB" w:rsidRDefault="00F35BF2" w:rsidP="00AD4961">
      <w:pPr>
        <w:rPr>
          <w:lang w:val="en-US"/>
        </w:rPr>
      </w:pPr>
      <w:r>
        <w:rPr>
          <w:lang w:val="en-US"/>
        </w:rPr>
        <w:t>A large proportion of the population experiences disability, chronic condition</w:t>
      </w:r>
      <w:r w:rsidR="00342B4B">
        <w:rPr>
          <w:lang w:val="en-US"/>
        </w:rPr>
        <w:t xml:space="preserve">s, or age-related impairments </w:t>
      </w:r>
      <w:r w:rsidR="007F76A7">
        <w:rPr>
          <w:lang w:val="en-US"/>
        </w:rPr>
        <w:t>that</w:t>
      </w:r>
      <w:r w:rsidR="00342B4B">
        <w:rPr>
          <w:lang w:val="en-US"/>
        </w:rPr>
        <w:t xml:space="preserve"> can affect their ability to use standard consumer products and packaging.</w:t>
      </w:r>
      <w:r w:rsidR="0011340D">
        <w:rPr>
          <w:lang w:val="en-US"/>
        </w:rPr>
        <w:t xml:space="preserve">  </w:t>
      </w:r>
      <w:r w:rsidR="00315147">
        <w:rPr>
          <w:lang w:val="en-US"/>
        </w:rPr>
        <w:t xml:space="preserve"> </w:t>
      </w:r>
    </w:p>
    <w:p w14:paraId="24A91E8A" w14:textId="77777777" w:rsidR="00022782" w:rsidRDefault="00022782" w:rsidP="004E165A">
      <w:pPr>
        <w:rPr>
          <w:lang w:val="en-US"/>
        </w:rPr>
      </w:pPr>
      <w:r w:rsidRPr="00FD0E67">
        <w:rPr>
          <w:lang w:val="en-US"/>
        </w:rPr>
        <w:t xml:space="preserve">Inaccessible products and packaging can cause unnecessary physical pain or discomfort, stress and frustration, and can </w:t>
      </w:r>
      <w:r w:rsidRPr="00726D2D">
        <w:rPr>
          <w:lang w:val="en-US"/>
        </w:rPr>
        <w:t>undermine a person’s</w:t>
      </w:r>
      <w:r>
        <w:rPr>
          <w:lang w:val="en-US"/>
        </w:rPr>
        <w:t xml:space="preserve"> health,</w:t>
      </w:r>
      <w:r w:rsidRPr="00726D2D">
        <w:rPr>
          <w:lang w:val="en-US"/>
        </w:rPr>
        <w:t xml:space="preserve"> independence and self-esteem.</w:t>
      </w:r>
    </w:p>
    <w:p w14:paraId="07055D31" w14:textId="77777777" w:rsidR="004E165A" w:rsidRDefault="004E165A" w:rsidP="004E165A">
      <w:pPr>
        <w:rPr>
          <w:lang w:val="en-US"/>
        </w:rPr>
      </w:pPr>
      <w:r>
        <w:rPr>
          <w:lang w:val="en-US"/>
        </w:rPr>
        <w:t xml:space="preserve">Designing </w:t>
      </w:r>
      <w:r w:rsidR="00022782">
        <w:rPr>
          <w:lang w:val="en-US"/>
        </w:rPr>
        <w:t xml:space="preserve">accessible </w:t>
      </w:r>
      <w:r>
        <w:rPr>
          <w:lang w:val="en-US"/>
        </w:rPr>
        <w:t xml:space="preserve">products and packaging </w:t>
      </w:r>
      <w:r w:rsidR="00022782">
        <w:rPr>
          <w:lang w:val="en-US"/>
        </w:rPr>
        <w:t xml:space="preserve">that are easy to use for as many people as possible contributes to a more inclusive society </w:t>
      </w:r>
      <w:r>
        <w:rPr>
          <w:lang w:val="en-US"/>
        </w:rPr>
        <w:t>and improves the consumer experience for all.</w:t>
      </w:r>
    </w:p>
    <w:p w14:paraId="73D4D818" w14:textId="77777777" w:rsidR="00A75780" w:rsidRPr="00646F7A" w:rsidRDefault="00F73711" w:rsidP="004D6C3F">
      <w:pPr>
        <w:rPr>
          <w:b/>
          <w:i/>
          <w:sz w:val="24"/>
          <w:szCs w:val="24"/>
          <w:lang w:val="en-US"/>
        </w:rPr>
      </w:pPr>
      <w:r>
        <w:rPr>
          <w:b/>
          <w:i/>
          <w:sz w:val="24"/>
          <w:szCs w:val="24"/>
          <w:lang w:val="en-US"/>
        </w:rPr>
        <w:t>1.1</w:t>
      </w:r>
      <w:r>
        <w:rPr>
          <w:b/>
          <w:i/>
          <w:sz w:val="24"/>
          <w:szCs w:val="24"/>
          <w:lang w:val="en-US"/>
        </w:rPr>
        <w:tab/>
      </w:r>
      <w:r w:rsidR="00A75780" w:rsidRPr="00646F7A">
        <w:rPr>
          <w:b/>
          <w:i/>
          <w:sz w:val="24"/>
          <w:szCs w:val="24"/>
          <w:lang w:val="en-US"/>
        </w:rPr>
        <w:t>Disability</w:t>
      </w:r>
      <w:r w:rsidR="0011340D" w:rsidRPr="00646F7A">
        <w:rPr>
          <w:b/>
          <w:i/>
          <w:sz w:val="24"/>
          <w:szCs w:val="24"/>
          <w:lang w:val="en-US"/>
        </w:rPr>
        <w:t xml:space="preserve"> </w:t>
      </w:r>
    </w:p>
    <w:p w14:paraId="477312DE" w14:textId="77777777" w:rsidR="00214FD9" w:rsidRDefault="00342B4B" w:rsidP="0011340D">
      <w:pPr>
        <w:rPr>
          <w:lang w:val="en-US"/>
        </w:rPr>
      </w:pPr>
      <w:r>
        <w:rPr>
          <w:lang w:val="en-US"/>
        </w:rPr>
        <w:t>M</w:t>
      </w:r>
      <w:r w:rsidR="004D6C3F">
        <w:rPr>
          <w:lang w:val="en-US"/>
        </w:rPr>
        <w:t xml:space="preserve">ore than four million </w:t>
      </w:r>
      <w:r w:rsidR="004D742A">
        <w:rPr>
          <w:lang w:val="en-US"/>
        </w:rPr>
        <w:t>Australians</w:t>
      </w:r>
      <w:r w:rsidR="004D6C3F">
        <w:rPr>
          <w:lang w:val="en-US"/>
        </w:rPr>
        <w:t xml:space="preserve"> live </w:t>
      </w:r>
      <w:r w:rsidR="00E50CBC">
        <w:rPr>
          <w:lang w:val="en-US"/>
        </w:rPr>
        <w:t>with</w:t>
      </w:r>
      <w:r w:rsidR="004D6C3F">
        <w:rPr>
          <w:lang w:val="en-US"/>
        </w:rPr>
        <w:t xml:space="preserve"> disability, or around one in five people.</w:t>
      </w:r>
      <w:r w:rsidR="004D6C3F">
        <w:rPr>
          <w:rStyle w:val="EndnoteReference"/>
          <w:lang w:val="en-US"/>
        </w:rPr>
        <w:endnoteReference w:id="3"/>
      </w:r>
      <w:r w:rsidR="00FD0E67">
        <w:rPr>
          <w:lang w:val="en-US"/>
        </w:rPr>
        <w:t xml:space="preserve">  </w:t>
      </w:r>
    </w:p>
    <w:p w14:paraId="24A7BC1F" w14:textId="77777777" w:rsidR="004D742A" w:rsidRDefault="00214FD9" w:rsidP="00214FD9">
      <w:pPr>
        <w:rPr>
          <w:lang w:val="en-US"/>
        </w:rPr>
      </w:pPr>
      <w:r>
        <w:rPr>
          <w:lang w:val="en-US"/>
        </w:rPr>
        <w:t xml:space="preserve">The social model of disability views disability as </w:t>
      </w:r>
      <w:r w:rsidR="00FD3C2E">
        <w:rPr>
          <w:lang w:val="en-US"/>
        </w:rPr>
        <w:t>the interaction between an</w:t>
      </w:r>
      <w:r>
        <w:rPr>
          <w:lang w:val="en-US"/>
        </w:rPr>
        <w:t xml:space="preserve"> individual a</w:t>
      </w:r>
      <w:r w:rsidR="00A30F9C">
        <w:rPr>
          <w:lang w:val="en-US"/>
        </w:rPr>
        <w:t>nd society. A</w:t>
      </w:r>
      <w:r w:rsidR="00BA6E9D">
        <w:rPr>
          <w:lang w:val="en-US"/>
        </w:rPr>
        <w:t xml:space="preserve"> </w:t>
      </w:r>
      <w:r>
        <w:rPr>
          <w:lang w:val="en-US"/>
        </w:rPr>
        <w:t xml:space="preserve">person is </w:t>
      </w:r>
      <w:r w:rsidR="00A30F9C">
        <w:rPr>
          <w:lang w:val="en-US"/>
        </w:rPr>
        <w:t>‘</w:t>
      </w:r>
      <w:r>
        <w:rPr>
          <w:lang w:val="en-US"/>
        </w:rPr>
        <w:t>disabled</w:t>
      </w:r>
      <w:r w:rsidR="00A30F9C">
        <w:rPr>
          <w:lang w:val="en-US"/>
        </w:rPr>
        <w:t>’</w:t>
      </w:r>
      <w:r>
        <w:rPr>
          <w:lang w:val="en-US"/>
        </w:rPr>
        <w:t xml:space="preserve"> when they encounter a barrier that stops </w:t>
      </w:r>
      <w:r w:rsidR="00A30F9C">
        <w:rPr>
          <w:lang w:val="en-US"/>
        </w:rPr>
        <w:t xml:space="preserve">their full and effective </w:t>
      </w:r>
      <w:r w:rsidR="00FD3C2E">
        <w:rPr>
          <w:lang w:val="en-US"/>
        </w:rPr>
        <w:t>participati</w:t>
      </w:r>
      <w:r w:rsidR="00A30F9C">
        <w:rPr>
          <w:lang w:val="en-US"/>
        </w:rPr>
        <w:t>on</w:t>
      </w:r>
      <w:r w:rsidR="00FD3C2E">
        <w:rPr>
          <w:lang w:val="en-US"/>
        </w:rPr>
        <w:t xml:space="preserve"> in </w:t>
      </w:r>
      <w:r w:rsidR="00FD3C2E">
        <w:rPr>
          <w:lang w:val="en-US"/>
        </w:rPr>
        <w:lastRenderedPageBreak/>
        <w:t>society on an equal basis with others.</w:t>
      </w:r>
      <w:r w:rsidR="00A30F9C">
        <w:rPr>
          <w:lang w:val="en-US"/>
        </w:rPr>
        <w:t xml:space="preserve"> </w:t>
      </w:r>
      <w:r>
        <w:rPr>
          <w:lang w:val="en-US"/>
        </w:rPr>
        <w:t xml:space="preserve">This model is internationally recognized </w:t>
      </w:r>
      <w:r w:rsidR="00A30F9C">
        <w:rPr>
          <w:lang w:val="en-US"/>
        </w:rPr>
        <w:t>in the UN Convention on the Rights of P</w:t>
      </w:r>
      <w:r>
        <w:rPr>
          <w:lang w:val="en-US"/>
        </w:rPr>
        <w:t>ersons wi</w:t>
      </w:r>
      <w:r w:rsidR="00A30F9C">
        <w:rPr>
          <w:lang w:val="en-US"/>
        </w:rPr>
        <w:t>th D</w:t>
      </w:r>
      <w:r>
        <w:rPr>
          <w:lang w:val="en-US"/>
        </w:rPr>
        <w:t>isabilities</w:t>
      </w:r>
      <w:r w:rsidR="00A30F9C">
        <w:rPr>
          <w:lang w:val="en-US"/>
        </w:rPr>
        <w:t xml:space="preserve"> to which both Australia a</w:t>
      </w:r>
      <w:r w:rsidR="00BA6E9D">
        <w:rPr>
          <w:lang w:val="en-US"/>
        </w:rPr>
        <w:t>nd New Zealand are signatories.</w:t>
      </w:r>
      <w:r w:rsidR="008C5F67">
        <w:rPr>
          <w:rStyle w:val="EndnoteReference"/>
          <w:lang w:val="en-US"/>
        </w:rPr>
        <w:endnoteReference w:id="4"/>
      </w:r>
    </w:p>
    <w:p w14:paraId="51E8B333" w14:textId="508F3A9B" w:rsidR="004D742A" w:rsidRDefault="00A30F9C" w:rsidP="00214FD9">
      <w:r>
        <w:rPr>
          <w:lang w:val="en-US"/>
        </w:rPr>
        <w:t>Th</w:t>
      </w:r>
      <w:r w:rsidR="004D742A">
        <w:rPr>
          <w:lang w:val="en-US"/>
        </w:rPr>
        <w:t>e UN</w:t>
      </w:r>
      <w:r>
        <w:rPr>
          <w:lang w:val="en-US"/>
        </w:rPr>
        <w:t xml:space="preserve"> Convention </w:t>
      </w:r>
      <w:r w:rsidR="00214FD9">
        <w:rPr>
          <w:lang w:val="en-US"/>
        </w:rPr>
        <w:t>sets out the obligations of signatories to enable persons with disability to live independently and participate fully in all aspects of life</w:t>
      </w:r>
      <w:r>
        <w:rPr>
          <w:lang w:val="en-US"/>
        </w:rPr>
        <w:t>, including through the identification and elimination of obstacles and barriers to accessibility.</w:t>
      </w:r>
      <w:r w:rsidR="004D742A">
        <w:rPr>
          <w:lang w:val="en-US"/>
        </w:rPr>
        <w:t xml:space="preserve"> This includes a general obligation to promote </w:t>
      </w:r>
      <w:r w:rsidR="008C5F67">
        <w:rPr>
          <w:lang w:val="en-US"/>
        </w:rPr>
        <w:t xml:space="preserve">accessible design, being </w:t>
      </w:r>
      <w:r w:rsidR="00E605A8">
        <w:rPr>
          <w:lang w:val="en-US"/>
        </w:rPr>
        <w:t>‘</w:t>
      </w:r>
      <w:r w:rsidR="004D742A">
        <w:rPr>
          <w:lang w:val="en-US"/>
        </w:rPr>
        <w:t xml:space="preserve">the </w:t>
      </w:r>
      <w:r w:rsidR="004D742A">
        <w:t>design of products, environments, programmes and services that are usable by all people, to the greatest extent possible, without the need for adaptation or specialised design.</w:t>
      </w:r>
      <w:r w:rsidR="00BA6E9D" w:rsidRPr="00BA6E9D">
        <w:rPr>
          <w:vertAlign w:val="superscript"/>
        </w:rPr>
        <w:t>4</w:t>
      </w:r>
    </w:p>
    <w:p w14:paraId="672F7F5F" w14:textId="77777777" w:rsidR="00214FD9" w:rsidRDefault="007F76A7" w:rsidP="00214FD9">
      <w:pPr>
        <w:rPr>
          <w:lang w:val="en-US"/>
        </w:rPr>
      </w:pPr>
      <w:r>
        <w:rPr>
          <w:lang w:val="en-US"/>
        </w:rPr>
        <w:t>Accessible product and packaging design</w:t>
      </w:r>
      <w:r w:rsidR="00E605A8">
        <w:rPr>
          <w:lang w:val="en-US"/>
        </w:rPr>
        <w:t xml:space="preserve"> </w:t>
      </w:r>
      <w:proofErr w:type="gramStart"/>
      <w:r>
        <w:rPr>
          <w:lang w:val="en-US"/>
        </w:rPr>
        <w:t>aligns</w:t>
      </w:r>
      <w:proofErr w:type="gramEnd"/>
      <w:r>
        <w:rPr>
          <w:lang w:val="en-US"/>
        </w:rPr>
        <w:t xml:space="preserve"> strongly with the principles of the Convention by supporting</w:t>
      </w:r>
      <w:r w:rsidR="00315147">
        <w:rPr>
          <w:lang w:val="en-US"/>
        </w:rPr>
        <w:t xml:space="preserve"> people with disability to live independently by reducing existing barriers </w:t>
      </w:r>
      <w:r w:rsidR="00214FD9">
        <w:rPr>
          <w:lang w:val="en-US"/>
        </w:rPr>
        <w:t xml:space="preserve">that exclude </w:t>
      </w:r>
      <w:r w:rsidR="008C5F67">
        <w:rPr>
          <w:lang w:val="en-US"/>
        </w:rPr>
        <w:t>them</w:t>
      </w:r>
      <w:r w:rsidR="00214FD9">
        <w:rPr>
          <w:lang w:val="en-US"/>
        </w:rPr>
        <w:t xml:space="preserve"> fr</w:t>
      </w:r>
      <w:r>
        <w:rPr>
          <w:lang w:val="en-US"/>
        </w:rPr>
        <w:t>om using and enjoying a product on an equal basis with others.</w:t>
      </w:r>
    </w:p>
    <w:p w14:paraId="2436432B" w14:textId="77777777" w:rsidR="00214FD9" w:rsidRPr="00646F7A" w:rsidRDefault="00F73711" w:rsidP="0011340D">
      <w:pPr>
        <w:rPr>
          <w:i/>
          <w:sz w:val="24"/>
          <w:szCs w:val="24"/>
          <w:lang w:val="en-US"/>
        </w:rPr>
      </w:pPr>
      <w:r>
        <w:rPr>
          <w:b/>
          <w:i/>
          <w:sz w:val="24"/>
          <w:szCs w:val="24"/>
          <w:lang w:val="en-US"/>
        </w:rPr>
        <w:t>1.2</w:t>
      </w:r>
      <w:r>
        <w:rPr>
          <w:b/>
          <w:i/>
          <w:sz w:val="24"/>
          <w:szCs w:val="24"/>
          <w:lang w:val="en-US"/>
        </w:rPr>
        <w:tab/>
      </w:r>
      <w:r w:rsidR="007F76A7" w:rsidRPr="00646F7A">
        <w:rPr>
          <w:b/>
          <w:i/>
          <w:sz w:val="24"/>
          <w:szCs w:val="24"/>
          <w:lang w:val="en-US"/>
        </w:rPr>
        <w:t>Chronic conditions</w:t>
      </w:r>
    </w:p>
    <w:p w14:paraId="50BB926D" w14:textId="77777777" w:rsidR="0011340D" w:rsidRDefault="008C5F67" w:rsidP="0011340D">
      <w:pPr>
        <w:rPr>
          <w:lang w:val="en-US"/>
        </w:rPr>
      </w:pPr>
      <w:r>
        <w:rPr>
          <w:lang w:val="en-US"/>
        </w:rPr>
        <w:t xml:space="preserve">One in two Australians </w:t>
      </w:r>
      <w:r w:rsidR="0011340D">
        <w:rPr>
          <w:lang w:val="en-US"/>
        </w:rPr>
        <w:t>live</w:t>
      </w:r>
      <w:r>
        <w:rPr>
          <w:lang w:val="en-US"/>
        </w:rPr>
        <w:t>s</w:t>
      </w:r>
      <w:r w:rsidR="0011340D">
        <w:rPr>
          <w:lang w:val="en-US"/>
        </w:rPr>
        <w:t xml:space="preserve"> with </w:t>
      </w:r>
      <w:r w:rsidR="007F76A7">
        <w:rPr>
          <w:lang w:val="en-US"/>
        </w:rPr>
        <w:t>one or more chronic health conditions.</w:t>
      </w:r>
      <w:r>
        <w:rPr>
          <w:rStyle w:val="EndnoteReference"/>
          <w:lang w:val="en-US"/>
        </w:rPr>
        <w:endnoteReference w:id="5"/>
      </w:r>
      <w:r w:rsidR="00125E9E">
        <w:rPr>
          <w:lang w:val="en-US"/>
        </w:rPr>
        <w:t xml:space="preserve"> Many of these chronic conditions can affect a person’s ability to use standard consumer products and packaging.  While some of these conditions are more common in older people, many of these conditions can occur at any age.</w:t>
      </w:r>
    </w:p>
    <w:p w14:paraId="46ED3637" w14:textId="63E22769" w:rsidR="0011340D" w:rsidRDefault="0011340D" w:rsidP="0011340D">
      <w:pPr>
        <w:rPr>
          <w:lang w:val="en-US"/>
        </w:rPr>
      </w:pPr>
      <w:r>
        <w:rPr>
          <w:lang w:val="en-US"/>
        </w:rPr>
        <w:t>C</w:t>
      </w:r>
      <w:r w:rsidRPr="00FD0E67">
        <w:rPr>
          <w:lang w:val="en-US"/>
        </w:rPr>
        <w:t>onditions that affect people’s ability to use products and packaging</w:t>
      </w:r>
      <w:r w:rsidR="00F73711">
        <w:rPr>
          <w:lang w:val="en-US"/>
        </w:rPr>
        <w:t xml:space="preserve"> </w:t>
      </w:r>
      <w:r w:rsidRPr="00FD0E67">
        <w:rPr>
          <w:lang w:val="en-US"/>
        </w:rPr>
        <w:t xml:space="preserve">include arthritis and other musculoskeletal conditions, </w:t>
      </w:r>
      <w:r w:rsidR="001E2E4E">
        <w:rPr>
          <w:lang w:val="en-US"/>
        </w:rPr>
        <w:t xml:space="preserve">chronic pain, </w:t>
      </w:r>
      <w:r w:rsidRPr="00FD0E67">
        <w:rPr>
          <w:lang w:val="en-US"/>
        </w:rPr>
        <w:t>neurological conditions, movement disorders and other related degenerative disorders. These conditions</w:t>
      </w:r>
      <w:r w:rsidR="00632D66">
        <w:rPr>
          <w:lang w:val="en-US"/>
        </w:rPr>
        <w:t xml:space="preserve"> affect more than</w:t>
      </w:r>
      <w:r w:rsidR="00146075">
        <w:rPr>
          <w:lang w:val="en-US"/>
        </w:rPr>
        <w:t xml:space="preserve"> seven </w:t>
      </w:r>
      <w:r w:rsidR="00632D66">
        <w:rPr>
          <w:lang w:val="en-US"/>
        </w:rPr>
        <w:t>million Australians (see Table 1) and</w:t>
      </w:r>
      <w:r w:rsidRPr="00FD0E67">
        <w:rPr>
          <w:lang w:val="en-US"/>
        </w:rPr>
        <w:t xml:space="preserve"> can lead to impairments in strength, dexterity and coordination, as well as fatigue and tremors that make packag</w:t>
      </w:r>
      <w:r w:rsidR="00022782">
        <w:rPr>
          <w:lang w:val="en-US"/>
        </w:rPr>
        <w:t>ing and products harder to use.</w:t>
      </w:r>
      <w:r w:rsidR="00BB619D">
        <w:rPr>
          <w:lang w:val="en-US"/>
        </w:rPr>
        <w:t xml:space="preserve"> </w:t>
      </w:r>
      <w:r w:rsidR="00653A45">
        <w:rPr>
          <w:lang w:val="en-US"/>
        </w:rPr>
        <w:t xml:space="preserve">Poor vision can also affect a person’s ability to read and understand product information on packaging or how to use a product.  </w:t>
      </w:r>
      <w:r w:rsidR="00B51146">
        <w:rPr>
          <w:lang w:val="en-US"/>
        </w:rPr>
        <w:t>More than 114,000 Australians were estimated to have uncorrectable low vision in 2004, with this number expected to double by 2024.</w:t>
      </w:r>
      <w:r w:rsidR="00B51146">
        <w:rPr>
          <w:rStyle w:val="EndnoteReference"/>
          <w:lang w:val="en-US"/>
        </w:rPr>
        <w:endnoteReference w:id="6"/>
      </w:r>
    </w:p>
    <w:p w14:paraId="1545B4EC" w14:textId="77777777" w:rsidR="001539CF" w:rsidRDefault="001539CF" w:rsidP="001539CF">
      <w:pPr>
        <w:rPr>
          <w:lang w:val="en-US"/>
        </w:rPr>
      </w:pPr>
      <w:r>
        <w:rPr>
          <w:lang w:val="en-US"/>
        </w:rPr>
        <w:t xml:space="preserve">A 2020 </w:t>
      </w:r>
      <w:r w:rsidRPr="00274B0D">
        <w:rPr>
          <w:i/>
          <w:lang w:val="en-US"/>
        </w:rPr>
        <w:t>Accessibility in the Home</w:t>
      </w:r>
      <w:r>
        <w:rPr>
          <w:lang w:val="en-US"/>
        </w:rPr>
        <w:t xml:space="preserve"> survey of people in Australia and New Zealand living with these conditions identified a range of difficult to use products in the home including:</w:t>
      </w:r>
    </w:p>
    <w:p w14:paraId="2E3A8C84" w14:textId="77777777" w:rsidR="001539CF" w:rsidRDefault="001539CF" w:rsidP="001539CF">
      <w:pPr>
        <w:pStyle w:val="ListParagraph"/>
        <w:numPr>
          <w:ilvl w:val="0"/>
          <w:numId w:val="8"/>
        </w:numPr>
        <w:rPr>
          <w:lang w:val="en-US"/>
        </w:rPr>
      </w:pPr>
      <w:r>
        <w:rPr>
          <w:lang w:val="en-US"/>
        </w:rPr>
        <w:t xml:space="preserve">Heavy pots, pans and kettles (50% of respondents) </w:t>
      </w:r>
    </w:p>
    <w:p w14:paraId="172D6212" w14:textId="77777777" w:rsidR="001539CF" w:rsidRDefault="001539CF" w:rsidP="001539CF">
      <w:pPr>
        <w:pStyle w:val="ListParagraph"/>
        <w:numPr>
          <w:ilvl w:val="0"/>
          <w:numId w:val="8"/>
        </w:numPr>
        <w:rPr>
          <w:lang w:val="en-US"/>
        </w:rPr>
      </w:pPr>
      <w:r>
        <w:rPr>
          <w:lang w:val="en-US"/>
        </w:rPr>
        <w:t>Mattresses and beds that were difficult to manage due to their weight and difficulties in tucking in sheets (69%)</w:t>
      </w:r>
    </w:p>
    <w:p w14:paraId="43181645" w14:textId="77777777" w:rsidR="001539CF" w:rsidRDefault="001539CF" w:rsidP="001539CF">
      <w:pPr>
        <w:pStyle w:val="ListParagraph"/>
        <w:numPr>
          <w:ilvl w:val="0"/>
          <w:numId w:val="8"/>
        </w:numPr>
        <w:rPr>
          <w:lang w:val="en-US"/>
        </w:rPr>
      </w:pPr>
      <w:r>
        <w:rPr>
          <w:lang w:val="en-US"/>
        </w:rPr>
        <w:t>Baths including sinks and taps (65%) and hairdryers (48%).</w:t>
      </w:r>
    </w:p>
    <w:p w14:paraId="0E1B24B8" w14:textId="77777777" w:rsidR="001539CF" w:rsidRDefault="001539CF" w:rsidP="001539CF">
      <w:pPr>
        <w:pStyle w:val="ListParagraph"/>
        <w:numPr>
          <w:ilvl w:val="0"/>
          <w:numId w:val="8"/>
        </w:numPr>
        <w:rPr>
          <w:lang w:val="en-US"/>
        </w:rPr>
      </w:pPr>
      <w:r>
        <w:rPr>
          <w:lang w:val="en-US"/>
        </w:rPr>
        <w:t>Vacuum cleaners and ironing boards (69%)</w:t>
      </w:r>
    </w:p>
    <w:p w14:paraId="425C5D8B" w14:textId="77777777" w:rsidR="001539CF" w:rsidRDefault="001539CF" w:rsidP="001539CF">
      <w:pPr>
        <w:pStyle w:val="ListParagraph"/>
        <w:numPr>
          <w:ilvl w:val="0"/>
          <w:numId w:val="8"/>
        </w:numPr>
        <w:rPr>
          <w:lang w:val="en-US"/>
        </w:rPr>
      </w:pPr>
      <w:r>
        <w:rPr>
          <w:lang w:val="en-US"/>
        </w:rPr>
        <w:t>Product packaging that was difficult to open.</w:t>
      </w:r>
      <w:r>
        <w:rPr>
          <w:rStyle w:val="EndnoteReference"/>
          <w:lang w:val="en-US"/>
        </w:rPr>
        <w:endnoteReference w:id="7"/>
      </w:r>
      <w:r>
        <w:rPr>
          <w:lang w:val="en-US"/>
        </w:rPr>
        <w:t xml:space="preserve"> </w:t>
      </w:r>
    </w:p>
    <w:p w14:paraId="6C7D67E6" w14:textId="77777777" w:rsidR="005042DC" w:rsidRPr="00646F7A" w:rsidRDefault="005042DC" w:rsidP="005042DC">
      <w:pPr>
        <w:rPr>
          <w:b/>
          <w:lang w:val="en-US"/>
        </w:rPr>
      </w:pPr>
      <w:r w:rsidRPr="00646F7A">
        <w:rPr>
          <w:b/>
          <w:lang w:val="en-US"/>
        </w:rPr>
        <w:t xml:space="preserve">Table 1 Prevalence of </w:t>
      </w:r>
      <w:r>
        <w:rPr>
          <w:b/>
          <w:lang w:val="en-US"/>
        </w:rPr>
        <w:t xml:space="preserve">selected chronic conditions associated with disability </w:t>
      </w:r>
    </w:p>
    <w:tbl>
      <w:tblPr>
        <w:tblStyle w:val="TableGrid"/>
        <w:tblW w:w="7933" w:type="dxa"/>
        <w:tblLook w:val="04A0" w:firstRow="1" w:lastRow="0" w:firstColumn="1" w:lastColumn="0" w:noHBand="0" w:noVBand="1"/>
      </w:tblPr>
      <w:tblGrid>
        <w:gridCol w:w="4390"/>
        <w:gridCol w:w="3543"/>
      </w:tblGrid>
      <w:tr w:rsidR="00BB619D" w:rsidRPr="00646F7A" w14:paraId="2150C0E6" w14:textId="77777777" w:rsidTr="00BB619D">
        <w:tc>
          <w:tcPr>
            <w:tcW w:w="4390" w:type="dxa"/>
            <w:shd w:val="clear" w:color="auto" w:fill="D9D9D9" w:themeFill="background1" w:themeFillShade="D9"/>
            <w:vAlign w:val="bottom"/>
          </w:tcPr>
          <w:p w14:paraId="2207CA8F" w14:textId="77777777" w:rsidR="00BB619D" w:rsidRPr="00646F7A" w:rsidRDefault="00BB619D" w:rsidP="00DA3C12">
            <w:pPr>
              <w:rPr>
                <w:sz w:val="22"/>
              </w:rPr>
            </w:pPr>
            <w:r w:rsidRPr="00646F7A">
              <w:rPr>
                <w:rFonts w:eastAsia="Times New Roman" w:cs="Times New Roman"/>
                <w:b/>
                <w:i/>
                <w:color w:val="000000"/>
              </w:rPr>
              <w:t>Condition</w:t>
            </w:r>
          </w:p>
        </w:tc>
        <w:tc>
          <w:tcPr>
            <w:tcW w:w="3543" w:type="dxa"/>
            <w:shd w:val="clear" w:color="auto" w:fill="D9D9D9" w:themeFill="background1" w:themeFillShade="D9"/>
            <w:vAlign w:val="bottom"/>
          </w:tcPr>
          <w:p w14:paraId="1FF287EC" w14:textId="77777777" w:rsidR="00BB619D" w:rsidRPr="00646F7A" w:rsidRDefault="00BB619D" w:rsidP="00DA3C12">
            <w:pPr>
              <w:rPr>
                <w:sz w:val="22"/>
              </w:rPr>
            </w:pPr>
            <w:r w:rsidRPr="00646F7A">
              <w:rPr>
                <w:rFonts w:eastAsia="Times New Roman" w:cs="Times New Roman"/>
                <w:b/>
                <w:i/>
                <w:color w:val="000000"/>
              </w:rPr>
              <w:t>Est. prevalence</w:t>
            </w:r>
          </w:p>
        </w:tc>
      </w:tr>
      <w:tr w:rsidR="00BB619D" w:rsidRPr="00646F7A" w14:paraId="3E1E56D9" w14:textId="77777777" w:rsidTr="00BB619D">
        <w:tc>
          <w:tcPr>
            <w:tcW w:w="4390" w:type="dxa"/>
          </w:tcPr>
          <w:p w14:paraId="3204EFD4" w14:textId="77777777" w:rsidR="00BB619D" w:rsidRPr="00646F7A" w:rsidRDefault="00BB619D" w:rsidP="00DA3C12">
            <w:pPr>
              <w:rPr>
                <w:sz w:val="22"/>
              </w:rPr>
            </w:pPr>
            <w:r w:rsidRPr="00646F7A">
              <w:rPr>
                <w:rFonts w:eastAsia="Times New Roman" w:cs="Times New Roman"/>
                <w:bCs/>
                <w:color w:val="000000"/>
                <w:sz w:val="22"/>
                <w:szCs w:val="22"/>
              </w:rPr>
              <w:t>Arthritis (in Australia)</w:t>
            </w:r>
          </w:p>
        </w:tc>
        <w:tc>
          <w:tcPr>
            <w:tcW w:w="3543" w:type="dxa"/>
          </w:tcPr>
          <w:p w14:paraId="02715B4E" w14:textId="77777777" w:rsidR="00BB619D" w:rsidRPr="00646F7A" w:rsidRDefault="00BB619D" w:rsidP="00DA3C12">
            <w:pPr>
              <w:jc w:val="right"/>
              <w:rPr>
                <w:sz w:val="22"/>
              </w:rPr>
            </w:pPr>
            <w:r w:rsidRPr="00646F7A">
              <w:rPr>
                <w:rFonts w:eastAsia="Times New Roman" w:cs="Times New Roman"/>
                <w:color w:val="000000"/>
              </w:rPr>
              <w:t>4,000,000</w:t>
            </w:r>
          </w:p>
        </w:tc>
      </w:tr>
      <w:tr w:rsidR="00BB619D" w:rsidRPr="00646F7A" w14:paraId="76FF326F" w14:textId="77777777" w:rsidTr="00BB619D">
        <w:tc>
          <w:tcPr>
            <w:tcW w:w="4390" w:type="dxa"/>
          </w:tcPr>
          <w:p w14:paraId="2CF69DB9" w14:textId="77777777" w:rsidR="00BB619D" w:rsidRPr="00646F7A" w:rsidRDefault="00BB619D" w:rsidP="00DA3C12">
            <w:pPr>
              <w:rPr>
                <w:rFonts w:eastAsia="Times New Roman" w:cs="Times New Roman"/>
                <w:bCs/>
                <w:color w:val="000000"/>
              </w:rPr>
            </w:pPr>
            <w:r>
              <w:rPr>
                <w:rFonts w:eastAsia="Times New Roman" w:cs="Times New Roman"/>
                <w:bCs/>
                <w:color w:val="000000"/>
              </w:rPr>
              <w:t>Chronic Pain</w:t>
            </w:r>
          </w:p>
        </w:tc>
        <w:tc>
          <w:tcPr>
            <w:tcW w:w="3543" w:type="dxa"/>
            <w:vAlign w:val="bottom"/>
          </w:tcPr>
          <w:p w14:paraId="0C0D8259" w14:textId="77777777" w:rsidR="00BB619D" w:rsidRPr="00646F7A" w:rsidRDefault="00BB619D" w:rsidP="00DA3C12">
            <w:pPr>
              <w:jc w:val="right"/>
              <w:rPr>
                <w:rFonts w:eastAsia="Times New Roman" w:cs="Times New Roman"/>
                <w:color w:val="000000"/>
              </w:rPr>
            </w:pPr>
            <w:r>
              <w:rPr>
                <w:rFonts w:eastAsia="Times New Roman" w:cs="Times New Roman"/>
                <w:color w:val="000000"/>
              </w:rPr>
              <w:t>3,240,000</w:t>
            </w:r>
          </w:p>
        </w:tc>
      </w:tr>
      <w:tr w:rsidR="00BB619D" w:rsidRPr="00646F7A" w14:paraId="25630947" w14:textId="77777777" w:rsidTr="00BB619D">
        <w:tc>
          <w:tcPr>
            <w:tcW w:w="4390" w:type="dxa"/>
          </w:tcPr>
          <w:p w14:paraId="373EB8AC" w14:textId="77777777" w:rsidR="00BB619D" w:rsidRPr="00646F7A" w:rsidRDefault="00BB619D" w:rsidP="00DA3C12">
            <w:pPr>
              <w:rPr>
                <w:sz w:val="22"/>
              </w:rPr>
            </w:pPr>
            <w:r w:rsidRPr="00646F7A">
              <w:rPr>
                <w:rFonts w:eastAsia="Times New Roman" w:cs="Times New Roman"/>
                <w:bCs/>
                <w:color w:val="000000"/>
                <w:sz w:val="22"/>
                <w:szCs w:val="22"/>
              </w:rPr>
              <w:t>Arthritis (in New Zealand)</w:t>
            </w:r>
          </w:p>
        </w:tc>
        <w:tc>
          <w:tcPr>
            <w:tcW w:w="3543" w:type="dxa"/>
            <w:vAlign w:val="bottom"/>
          </w:tcPr>
          <w:p w14:paraId="7C3F6B22" w14:textId="77777777" w:rsidR="00BB619D" w:rsidRPr="00646F7A" w:rsidRDefault="00BB619D" w:rsidP="00DA3C12">
            <w:pPr>
              <w:jc w:val="right"/>
              <w:rPr>
                <w:sz w:val="22"/>
              </w:rPr>
            </w:pPr>
            <w:r w:rsidRPr="00646F7A">
              <w:rPr>
                <w:rFonts w:eastAsia="Times New Roman" w:cs="Times New Roman"/>
                <w:color w:val="000000"/>
              </w:rPr>
              <w:t>670,000</w:t>
            </w:r>
          </w:p>
        </w:tc>
      </w:tr>
      <w:tr w:rsidR="00BB619D" w:rsidRPr="00646F7A" w14:paraId="37A1FCAA" w14:textId="77777777" w:rsidTr="00BB619D">
        <w:tc>
          <w:tcPr>
            <w:tcW w:w="4390" w:type="dxa"/>
          </w:tcPr>
          <w:p w14:paraId="6367B24C" w14:textId="77777777" w:rsidR="00BB619D" w:rsidRPr="00646F7A" w:rsidRDefault="00BB619D" w:rsidP="00DA3C12">
            <w:pPr>
              <w:rPr>
                <w:sz w:val="22"/>
              </w:rPr>
            </w:pPr>
            <w:r w:rsidRPr="00646F7A">
              <w:rPr>
                <w:rFonts w:eastAsia="Times New Roman" w:cs="Times New Roman"/>
                <w:bCs/>
                <w:color w:val="000000"/>
                <w:sz w:val="22"/>
                <w:szCs w:val="22"/>
              </w:rPr>
              <w:t>Stroke</w:t>
            </w:r>
          </w:p>
        </w:tc>
        <w:tc>
          <w:tcPr>
            <w:tcW w:w="3543" w:type="dxa"/>
            <w:vAlign w:val="bottom"/>
          </w:tcPr>
          <w:p w14:paraId="1C2FEEB8" w14:textId="77777777" w:rsidR="00BB619D" w:rsidRPr="00646F7A" w:rsidRDefault="00BB619D" w:rsidP="00DA3C12">
            <w:pPr>
              <w:jc w:val="right"/>
              <w:rPr>
                <w:sz w:val="22"/>
              </w:rPr>
            </w:pPr>
            <w:r w:rsidRPr="00646F7A">
              <w:rPr>
                <w:rFonts w:eastAsia="Times New Roman" w:cs="Times New Roman"/>
                <w:color w:val="000000"/>
              </w:rPr>
              <w:t>475,000</w:t>
            </w:r>
          </w:p>
        </w:tc>
      </w:tr>
      <w:tr w:rsidR="00BB619D" w:rsidRPr="00646F7A" w14:paraId="436EF3F3" w14:textId="77777777" w:rsidTr="00BB619D">
        <w:tc>
          <w:tcPr>
            <w:tcW w:w="4390" w:type="dxa"/>
          </w:tcPr>
          <w:p w14:paraId="5C66E31E" w14:textId="77777777" w:rsidR="00BB619D" w:rsidRPr="00646F7A" w:rsidRDefault="00BB619D" w:rsidP="00DA3C12">
            <w:pPr>
              <w:rPr>
                <w:sz w:val="22"/>
              </w:rPr>
            </w:pPr>
            <w:r w:rsidRPr="00646F7A">
              <w:rPr>
                <w:rFonts w:eastAsia="Times New Roman" w:cs="Times New Roman"/>
                <w:bCs/>
                <w:color w:val="000000"/>
                <w:sz w:val="22"/>
                <w:szCs w:val="22"/>
              </w:rPr>
              <w:t>Parkinson’s Disease</w:t>
            </w:r>
          </w:p>
        </w:tc>
        <w:tc>
          <w:tcPr>
            <w:tcW w:w="3543" w:type="dxa"/>
          </w:tcPr>
          <w:p w14:paraId="7223DC2C" w14:textId="77777777" w:rsidR="00BB619D" w:rsidRPr="00646F7A" w:rsidRDefault="00BB619D" w:rsidP="00DA3C12">
            <w:pPr>
              <w:jc w:val="right"/>
              <w:rPr>
                <w:sz w:val="22"/>
              </w:rPr>
            </w:pPr>
            <w:r w:rsidRPr="00646F7A">
              <w:rPr>
                <w:rFonts w:eastAsia="Times New Roman" w:cs="Times New Roman"/>
                <w:color w:val="000000"/>
              </w:rPr>
              <w:t>81,000</w:t>
            </w:r>
          </w:p>
        </w:tc>
      </w:tr>
      <w:tr w:rsidR="00BB619D" w:rsidRPr="00646F7A" w14:paraId="55CCC499" w14:textId="77777777" w:rsidTr="00BB619D">
        <w:tc>
          <w:tcPr>
            <w:tcW w:w="4390" w:type="dxa"/>
          </w:tcPr>
          <w:p w14:paraId="12919A41" w14:textId="77777777" w:rsidR="00BB619D" w:rsidRPr="00646F7A" w:rsidRDefault="00BB619D" w:rsidP="00DA3C12">
            <w:pPr>
              <w:rPr>
                <w:sz w:val="22"/>
              </w:rPr>
            </w:pPr>
            <w:r w:rsidRPr="00646F7A">
              <w:rPr>
                <w:rFonts w:eastAsia="Times New Roman" w:cs="Times New Roman"/>
                <w:bCs/>
                <w:color w:val="000000"/>
                <w:sz w:val="22"/>
                <w:szCs w:val="22"/>
              </w:rPr>
              <w:t>Cerebral Palsy</w:t>
            </w:r>
          </w:p>
        </w:tc>
        <w:tc>
          <w:tcPr>
            <w:tcW w:w="3543" w:type="dxa"/>
          </w:tcPr>
          <w:p w14:paraId="76D77572" w14:textId="77777777" w:rsidR="00BB619D" w:rsidRPr="00646F7A" w:rsidRDefault="00BB619D" w:rsidP="00DA3C12">
            <w:pPr>
              <w:jc w:val="right"/>
              <w:rPr>
                <w:sz w:val="22"/>
              </w:rPr>
            </w:pPr>
            <w:r w:rsidRPr="00646F7A">
              <w:rPr>
                <w:rFonts w:eastAsia="Times New Roman" w:cs="Times New Roman"/>
                <w:color w:val="000000"/>
              </w:rPr>
              <w:t>34,000</w:t>
            </w:r>
          </w:p>
        </w:tc>
      </w:tr>
      <w:tr w:rsidR="00BB619D" w:rsidRPr="00646F7A" w14:paraId="6F172A82" w14:textId="77777777" w:rsidTr="00BB619D">
        <w:tc>
          <w:tcPr>
            <w:tcW w:w="4390" w:type="dxa"/>
          </w:tcPr>
          <w:p w14:paraId="2B9EFCC5" w14:textId="77777777" w:rsidR="00BB619D" w:rsidRPr="00646F7A" w:rsidRDefault="00BB619D" w:rsidP="00DA3C12">
            <w:pPr>
              <w:rPr>
                <w:sz w:val="22"/>
              </w:rPr>
            </w:pPr>
            <w:r w:rsidRPr="00646F7A">
              <w:rPr>
                <w:rFonts w:eastAsia="Times New Roman" w:cs="Times New Roman"/>
                <w:bCs/>
                <w:color w:val="000000"/>
                <w:sz w:val="22"/>
                <w:szCs w:val="22"/>
              </w:rPr>
              <w:t>Multiple Sclerosis (MS)</w:t>
            </w:r>
          </w:p>
        </w:tc>
        <w:tc>
          <w:tcPr>
            <w:tcW w:w="3543" w:type="dxa"/>
            <w:vAlign w:val="bottom"/>
          </w:tcPr>
          <w:p w14:paraId="0D53ED95" w14:textId="77777777" w:rsidR="00BB619D" w:rsidRPr="00646F7A" w:rsidRDefault="00BB619D" w:rsidP="00DA3C12">
            <w:pPr>
              <w:jc w:val="right"/>
              <w:rPr>
                <w:sz w:val="22"/>
              </w:rPr>
            </w:pPr>
            <w:r w:rsidRPr="00646F7A">
              <w:rPr>
                <w:rFonts w:eastAsia="Times New Roman" w:cs="Times New Roman"/>
                <w:color w:val="000000"/>
              </w:rPr>
              <w:t>25,600</w:t>
            </w:r>
          </w:p>
        </w:tc>
      </w:tr>
      <w:tr w:rsidR="00BB619D" w:rsidRPr="00646F7A" w14:paraId="502558B5" w14:textId="77777777" w:rsidTr="00BB619D">
        <w:tc>
          <w:tcPr>
            <w:tcW w:w="4390" w:type="dxa"/>
            <w:vAlign w:val="center"/>
          </w:tcPr>
          <w:p w14:paraId="66C6BC4E" w14:textId="77777777" w:rsidR="00BB619D" w:rsidRPr="00646F7A" w:rsidRDefault="00BB619D" w:rsidP="00DA3C12">
            <w:pPr>
              <w:rPr>
                <w:sz w:val="22"/>
              </w:rPr>
            </w:pPr>
            <w:r w:rsidRPr="00646F7A">
              <w:rPr>
                <w:rFonts w:eastAsia="Times New Roman" w:cs="Times New Roman"/>
                <w:bCs/>
                <w:color w:val="000000"/>
                <w:sz w:val="22"/>
                <w:szCs w:val="22"/>
              </w:rPr>
              <w:t>Muscular Dystrophy</w:t>
            </w:r>
          </w:p>
        </w:tc>
        <w:tc>
          <w:tcPr>
            <w:tcW w:w="3543" w:type="dxa"/>
            <w:vAlign w:val="bottom"/>
          </w:tcPr>
          <w:p w14:paraId="7132D892" w14:textId="77777777" w:rsidR="00BB619D" w:rsidRPr="00646F7A" w:rsidRDefault="00BB619D" w:rsidP="00DA3C12">
            <w:pPr>
              <w:jc w:val="right"/>
              <w:rPr>
                <w:sz w:val="22"/>
              </w:rPr>
            </w:pPr>
            <w:r w:rsidRPr="00646F7A">
              <w:rPr>
                <w:rFonts w:eastAsia="Times New Roman" w:cs="Times New Roman"/>
                <w:color w:val="000000"/>
              </w:rPr>
              <w:t>20,000</w:t>
            </w:r>
          </w:p>
        </w:tc>
      </w:tr>
      <w:tr w:rsidR="00BB619D" w:rsidRPr="00646F7A" w14:paraId="6E24A890" w14:textId="77777777" w:rsidTr="00BB619D">
        <w:tc>
          <w:tcPr>
            <w:tcW w:w="4390" w:type="dxa"/>
            <w:vAlign w:val="center"/>
          </w:tcPr>
          <w:p w14:paraId="43C90406" w14:textId="77777777" w:rsidR="00BB619D" w:rsidRPr="00646F7A" w:rsidRDefault="00BB619D" w:rsidP="00DA3C12">
            <w:pPr>
              <w:rPr>
                <w:rFonts w:eastAsia="Times New Roman" w:cs="Times New Roman"/>
                <w:bCs/>
                <w:color w:val="000000"/>
                <w:sz w:val="22"/>
                <w:szCs w:val="22"/>
              </w:rPr>
            </w:pPr>
            <w:r w:rsidRPr="00646F7A">
              <w:rPr>
                <w:rFonts w:eastAsia="Times New Roman" w:cs="Times New Roman"/>
                <w:bCs/>
                <w:color w:val="000000"/>
                <w:sz w:val="22"/>
                <w:szCs w:val="22"/>
                <w:lang w:val="en-US"/>
              </w:rPr>
              <w:lastRenderedPageBreak/>
              <w:t>Cystic Fibrosis Australia</w:t>
            </w:r>
          </w:p>
        </w:tc>
        <w:tc>
          <w:tcPr>
            <w:tcW w:w="3543" w:type="dxa"/>
            <w:vAlign w:val="bottom"/>
          </w:tcPr>
          <w:p w14:paraId="11AC4614" w14:textId="77777777" w:rsidR="00BB619D" w:rsidRPr="00646F7A" w:rsidRDefault="00BB619D" w:rsidP="00DA3C12">
            <w:pPr>
              <w:jc w:val="right"/>
              <w:rPr>
                <w:rFonts w:eastAsia="Times New Roman" w:cs="Times New Roman"/>
                <w:color w:val="000000"/>
              </w:rPr>
            </w:pPr>
            <w:r w:rsidRPr="00646F7A">
              <w:rPr>
                <w:rFonts w:eastAsia="Times New Roman" w:cs="Times New Roman"/>
                <w:color w:val="000000"/>
              </w:rPr>
              <w:t>3,500</w:t>
            </w:r>
          </w:p>
        </w:tc>
      </w:tr>
      <w:tr w:rsidR="00BB619D" w:rsidRPr="00646F7A" w14:paraId="7772C895" w14:textId="77777777" w:rsidTr="00BB619D">
        <w:tc>
          <w:tcPr>
            <w:tcW w:w="4390" w:type="dxa"/>
            <w:vAlign w:val="center"/>
          </w:tcPr>
          <w:p w14:paraId="0F6389B6" w14:textId="77777777" w:rsidR="00BB619D" w:rsidRPr="00646F7A" w:rsidRDefault="00BB619D" w:rsidP="00DA3C12">
            <w:pPr>
              <w:rPr>
                <w:rFonts w:eastAsia="Times New Roman" w:cs="Times New Roman"/>
                <w:bCs/>
                <w:color w:val="000000"/>
                <w:sz w:val="22"/>
                <w:szCs w:val="22"/>
              </w:rPr>
            </w:pPr>
            <w:r w:rsidRPr="00646F7A">
              <w:rPr>
                <w:rFonts w:eastAsia="Times New Roman" w:cs="Times New Roman"/>
                <w:bCs/>
                <w:color w:val="000000"/>
                <w:sz w:val="22"/>
                <w:szCs w:val="22"/>
              </w:rPr>
              <w:t>Motor Neurone Disease (MND)</w:t>
            </w:r>
          </w:p>
        </w:tc>
        <w:tc>
          <w:tcPr>
            <w:tcW w:w="3543" w:type="dxa"/>
            <w:vAlign w:val="bottom"/>
          </w:tcPr>
          <w:p w14:paraId="78A6C615" w14:textId="77777777" w:rsidR="00BB619D" w:rsidRPr="00646F7A" w:rsidRDefault="00BB619D" w:rsidP="00DA3C12">
            <w:pPr>
              <w:jc w:val="right"/>
              <w:rPr>
                <w:rFonts w:eastAsia="Times New Roman" w:cs="Times New Roman"/>
                <w:color w:val="000000"/>
              </w:rPr>
            </w:pPr>
            <w:r w:rsidRPr="00646F7A">
              <w:rPr>
                <w:rFonts w:eastAsia="Times New Roman" w:cs="Times New Roman"/>
                <w:color w:val="000000"/>
              </w:rPr>
              <w:t>2,100</w:t>
            </w:r>
          </w:p>
        </w:tc>
      </w:tr>
      <w:tr w:rsidR="00BB619D" w:rsidRPr="00646F7A" w14:paraId="28507650" w14:textId="77777777" w:rsidTr="00BB619D">
        <w:tc>
          <w:tcPr>
            <w:tcW w:w="4390" w:type="dxa"/>
            <w:vAlign w:val="center"/>
          </w:tcPr>
          <w:p w14:paraId="0986057A" w14:textId="77777777" w:rsidR="00BB619D" w:rsidRPr="00646F7A" w:rsidRDefault="00BB619D" w:rsidP="00DA3C12">
            <w:pPr>
              <w:rPr>
                <w:rFonts w:eastAsia="Times New Roman" w:cs="Times New Roman"/>
                <w:bCs/>
                <w:color w:val="000000"/>
                <w:sz w:val="22"/>
                <w:szCs w:val="22"/>
              </w:rPr>
            </w:pPr>
            <w:r w:rsidRPr="00646F7A">
              <w:rPr>
                <w:rFonts w:eastAsia="Times New Roman" w:cs="Times New Roman"/>
                <w:bCs/>
                <w:color w:val="000000"/>
                <w:sz w:val="22"/>
                <w:szCs w:val="22"/>
              </w:rPr>
              <w:t>Huntington’s Disease</w:t>
            </w:r>
          </w:p>
        </w:tc>
        <w:tc>
          <w:tcPr>
            <w:tcW w:w="3543" w:type="dxa"/>
            <w:vAlign w:val="bottom"/>
          </w:tcPr>
          <w:p w14:paraId="758CCAD8" w14:textId="77777777" w:rsidR="00BB619D" w:rsidRPr="00646F7A" w:rsidRDefault="00BB619D" w:rsidP="00DA3C12">
            <w:pPr>
              <w:jc w:val="right"/>
              <w:rPr>
                <w:rFonts w:eastAsia="Times New Roman" w:cs="Times New Roman"/>
                <w:color w:val="000000"/>
              </w:rPr>
            </w:pPr>
            <w:r w:rsidRPr="00646F7A">
              <w:rPr>
                <w:rFonts w:eastAsia="Times New Roman" w:cs="Times New Roman"/>
                <w:color w:val="000000"/>
              </w:rPr>
              <w:t>1,800</w:t>
            </w:r>
          </w:p>
        </w:tc>
      </w:tr>
    </w:tbl>
    <w:p w14:paraId="64185E23" w14:textId="77777777" w:rsidR="005042DC" w:rsidRDefault="005042DC" w:rsidP="0011340D">
      <w:pPr>
        <w:rPr>
          <w:lang w:val="en-US"/>
        </w:rPr>
      </w:pPr>
    </w:p>
    <w:p w14:paraId="15E059FC" w14:textId="77777777" w:rsidR="00112F3C" w:rsidRDefault="00234C35" w:rsidP="001539CF">
      <w:pPr>
        <w:rPr>
          <w:lang w:val="en-US"/>
        </w:rPr>
      </w:pPr>
      <w:r>
        <w:rPr>
          <w:lang w:val="en-US"/>
        </w:rPr>
        <w:t>Difficult to use products and packaging can affect people’s ability to manage their health, as well as undermining independence and self-esteem. An Australian study on patients with rheumatoid arthritis, for example, found that difficulties opening medication bottles was a major impediment to adherence to prescribed treatment.</w:t>
      </w:r>
      <w:r>
        <w:rPr>
          <w:rStyle w:val="EndnoteReference"/>
          <w:lang w:val="en-US"/>
        </w:rPr>
        <w:endnoteReference w:id="8"/>
      </w:r>
      <w:r>
        <w:rPr>
          <w:lang w:val="en-US"/>
        </w:rPr>
        <w:t xml:space="preserve">  </w:t>
      </w:r>
    </w:p>
    <w:p w14:paraId="5AE8C6ED" w14:textId="77777777" w:rsidR="00A75780" w:rsidRPr="00646F7A" w:rsidRDefault="00F73711" w:rsidP="004D6C3F">
      <w:pPr>
        <w:rPr>
          <w:b/>
          <w:i/>
          <w:sz w:val="24"/>
          <w:szCs w:val="24"/>
          <w:lang w:val="en-US"/>
        </w:rPr>
      </w:pPr>
      <w:r>
        <w:rPr>
          <w:b/>
          <w:i/>
          <w:sz w:val="24"/>
          <w:szCs w:val="24"/>
          <w:lang w:val="en-US"/>
        </w:rPr>
        <w:t>1.3</w:t>
      </w:r>
      <w:r>
        <w:rPr>
          <w:b/>
          <w:i/>
          <w:sz w:val="24"/>
          <w:szCs w:val="24"/>
          <w:lang w:val="en-US"/>
        </w:rPr>
        <w:tab/>
      </w:r>
      <w:r w:rsidR="00A75780" w:rsidRPr="00646F7A">
        <w:rPr>
          <w:b/>
          <w:i/>
          <w:sz w:val="24"/>
          <w:szCs w:val="24"/>
          <w:lang w:val="en-US"/>
        </w:rPr>
        <w:t>Ageing population</w:t>
      </w:r>
    </w:p>
    <w:p w14:paraId="2F245CA6" w14:textId="77777777" w:rsidR="002A3C47" w:rsidRDefault="0011340D" w:rsidP="002A3C47">
      <w:pPr>
        <w:rPr>
          <w:lang w:val="en-US"/>
        </w:rPr>
      </w:pPr>
      <w:r>
        <w:rPr>
          <w:lang w:val="en-US"/>
        </w:rPr>
        <w:t>M</w:t>
      </w:r>
      <w:r w:rsidR="00342B4B">
        <w:rPr>
          <w:lang w:val="en-US"/>
        </w:rPr>
        <w:t xml:space="preserve">ore than four million </w:t>
      </w:r>
      <w:r w:rsidR="00C039BB">
        <w:rPr>
          <w:lang w:val="en-US"/>
        </w:rPr>
        <w:t>Australians</w:t>
      </w:r>
      <w:r>
        <w:rPr>
          <w:lang w:val="en-US"/>
        </w:rPr>
        <w:t>,</w:t>
      </w:r>
      <w:r w:rsidR="00342B4B" w:rsidRPr="00342B4B">
        <w:rPr>
          <w:lang w:val="en-US"/>
        </w:rPr>
        <w:t xml:space="preserve"> </w:t>
      </w:r>
      <w:r>
        <w:rPr>
          <w:lang w:val="en-US"/>
        </w:rPr>
        <w:t>or about 15% of the population, are</w:t>
      </w:r>
      <w:r w:rsidRPr="00342B4B">
        <w:rPr>
          <w:lang w:val="en-US"/>
        </w:rPr>
        <w:t xml:space="preserve"> </w:t>
      </w:r>
      <w:r>
        <w:rPr>
          <w:lang w:val="en-US"/>
        </w:rPr>
        <w:t xml:space="preserve">currently </w:t>
      </w:r>
      <w:r w:rsidR="00342B4B" w:rsidRPr="00342B4B">
        <w:rPr>
          <w:lang w:val="en-US"/>
        </w:rPr>
        <w:t>aged 65 years and over</w:t>
      </w:r>
      <w:r w:rsidR="00C039BB">
        <w:rPr>
          <w:lang w:val="en-US"/>
        </w:rPr>
        <w:t xml:space="preserve">. This </w:t>
      </w:r>
      <w:r>
        <w:rPr>
          <w:lang w:val="en-US"/>
        </w:rPr>
        <w:t xml:space="preserve">proportion </w:t>
      </w:r>
      <w:r w:rsidR="00C039BB">
        <w:rPr>
          <w:lang w:val="en-US"/>
        </w:rPr>
        <w:t>is expected to increase t</w:t>
      </w:r>
      <w:r w:rsidR="00342B4B" w:rsidRPr="00342B4B">
        <w:rPr>
          <w:lang w:val="en-US"/>
        </w:rPr>
        <w:t xml:space="preserve">o around </w:t>
      </w:r>
      <w:r w:rsidR="00DD15AB">
        <w:rPr>
          <w:lang w:val="en-US"/>
        </w:rPr>
        <w:t>22% by 2066</w:t>
      </w:r>
      <w:r w:rsidR="00723002">
        <w:rPr>
          <w:lang w:val="en-US"/>
        </w:rPr>
        <w:t>.</w:t>
      </w:r>
      <w:r w:rsidR="00342B4B">
        <w:rPr>
          <w:rStyle w:val="EndnoteReference"/>
          <w:lang w:val="en-US"/>
        </w:rPr>
        <w:endnoteReference w:id="9"/>
      </w:r>
      <w:r w:rsidR="00BA6E9D">
        <w:rPr>
          <w:lang w:val="en-US"/>
        </w:rPr>
        <w:t xml:space="preserve"> </w:t>
      </w:r>
      <w:r w:rsidR="002A3C47">
        <w:rPr>
          <w:lang w:val="en-US"/>
        </w:rPr>
        <w:t xml:space="preserve">Ageing is associated with increasing impairments in many faculties, including vision, hearing, mobility, dexterity and strength.  </w:t>
      </w:r>
    </w:p>
    <w:p w14:paraId="21030B06" w14:textId="77777777" w:rsidR="00556056" w:rsidRDefault="00CB2689" w:rsidP="009722AB">
      <w:pPr>
        <w:rPr>
          <w:lang w:val="en-US"/>
        </w:rPr>
      </w:pPr>
      <w:r>
        <w:rPr>
          <w:lang w:val="en-US"/>
        </w:rPr>
        <w:t>As a result of c</w:t>
      </w:r>
      <w:r w:rsidR="00DD15AB">
        <w:rPr>
          <w:lang w:val="en-US"/>
        </w:rPr>
        <w:t>hanges in physical capabilities and social circu</w:t>
      </w:r>
      <w:r>
        <w:rPr>
          <w:lang w:val="en-US"/>
        </w:rPr>
        <w:t xml:space="preserve">mstances, older people often face particular challenges in using standard consumer products and packaging.  </w:t>
      </w:r>
      <w:r w:rsidR="004E165A">
        <w:rPr>
          <w:lang w:val="en-US"/>
        </w:rPr>
        <w:t>Studies have found that struggling with difficult to open packaging, for example, leaves older people feeling vulnerable</w:t>
      </w:r>
      <w:r w:rsidR="009722AB">
        <w:rPr>
          <w:lang w:val="en-US"/>
        </w:rPr>
        <w:t>, powerless</w:t>
      </w:r>
      <w:r w:rsidR="004E165A">
        <w:rPr>
          <w:lang w:val="en-US"/>
        </w:rPr>
        <w:t xml:space="preserve"> and fr</w:t>
      </w:r>
      <w:r w:rsidR="00556056">
        <w:rPr>
          <w:lang w:val="en-US"/>
        </w:rPr>
        <w:t>ustrated. It also</w:t>
      </w:r>
      <w:r w:rsidR="004E165A">
        <w:rPr>
          <w:lang w:val="en-US"/>
        </w:rPr>
        <w:t xml:space="preserve"> increases their risk of injury as they resort to using sharp objects such as knives or scissors as aids.</w:t>
      </w:r>
      <w:r w:rsidR="002A3C47">
        <w:rPr>
          <w:rStyle w:val="EndnoteReference"/>
          <w:lang w:val="en-US"/>
        </w:rPr>
        <w:endnoteReference w:id="10"/>
      </w:r>
      <w:r w:rsidR="002A3C47">
        <w:rPr>
          <w:lang w:val="en-US"/>
        </w:rPr>
        <w:t xml:space="preserve">  </w:t>
      </w:r>
    </w:p>
    <w:p w14:paraId="0CCA99EF" w14:textId="77777777" w:rsidR="002A3C47" w:rsidRDefault="00556056" w:rsidP="009722AB">
      <w:pPr>
        <w:rPr>
          <w:lang w:val="en-US"/>
        </w:rPr>
      </w:pPr>
      <w:r>
        <w:rPr>
          <w:lang w:val="en-US"/>
        </w:rPr>
        <w:t>P</w:t>
      </w:r>
      <w:r w:rsidR="002D2537">
        <w:rPr>
          <w:lang w:val="en-US"/>
        </w:rPr>
        <w:t xml:space="preserve">oorer eyesight can </w:t>
      </w:r>
      <w:r>
        <w:rPr>
          <w:lang w:val="en-US"/>
        </w:rPr>
        <w:t xml:space="preserve">also </w:t>
      </w:r>
      <w:r w:rsidR="002D2537">
        <w:rPr>
          <w:lang w:val="en-US"/>
        </w:rPr>
        <w:t xml:space="preserve">make it difficult </w:t>
      </w:r>
      <w:r>
        <w:rPr>
          <w:lang w:val="en-US"/>
        </w:rPr>
        <w:t xml:space="preserve">for older people </w:t>
      </w:r>
      <w:r w:rsidR="002D2537">
        <w:rPr>
          <w:lang w:val="en-US"/>
        </w:rPr>
        <w:t>to read product information on packaging</w:t>
      </w:r>
      <w:r>
        <w:rPr>
          <w:lang w:val="en-US"/>
        </w:rPr>
        <w:t>.  This can af</w:t>
      </w:r>
      <w:r w:rsidR="002D2537">
        <w:rPr>
          <w:lang w:val="en-US"/>
        </w:rPr>
        <w:t xml:space="preserve">fect safety, </w:t>
      </w:r>
      <w:r>
        <w:rPr>
          <w:lang w:val="en-US"/>
        </w:rPr>
        <w:t>for example, by hindering their ability to read safety precautions</w:t>
      </w:r>
      <w:r w:rsidR="002D2537">
        <w:rPr>
          <w:lang w:val="en-US"/>
        </w:rPr>
        <w:t xml:space="preserve"> in the use of household products with harmful chemicals</w:t>
      </w:r>
      <w:r>
        <w:rPr>
          <w:lang w:val="en-US"/>
        </w:rPr>
        <w:t xml:space="preserve">. </w:t>
      </w:r>
      <w:r w:rsidR="002A3C47">
        <w:rPr>
          <w:lang w:val="en-US"/>
        </w:rPr>
        <w:t>Difficulties in</w:t>
      </w:r>
      <w:r w:rsidR="002D2537">
        <w:rPr>
          <w:lang w:val="en-US"/>
        </w:rPr>
        <w:t xml:space="preserve"> read</w:t>
      </w:r>
      <w:r w:rsidR="002A3C47">
        <w:rPr>
          <w:lang w:val="en-US"/>
        </w:rPr>
        <w:t>ing</w:t>
      </w:r>
      <w:r w:rsidR="002D2537">
        <w:rPr>
          <w:lang w:val="en-US"/>
        </w:rPr>
        <w:t xml:space="preserve"> use-</w:t>
      </w:r>
      <w:r w:rsidR="009722AB">
        <w:rPr>
          <w:lang w:val="en-US"/>
        </w:rPr>
        <w:t>by-dates on food packaging or dosage instructions on medication</w:t>
      </w:r>
      <w:r w:rsidR="002A3C47">
        <w:rPr>
          <w:lang w:val="en-US"/>
        </w:rPr>
        <w:t xml:space="preserve"> can also put their health at risk</w:t>
      </w:r>
      <w:r w:rsidR="009722AB">
        <w:rPr>
          <w:lang w:val="en-US"/>
        </w:rPr>
        <w:t>.</w:t>
      </w:r>
      <w:r w:rsidR="009722AB" w:rsidRPr="009722AB">
        <w:rPr>
          <w:rStyle w:val="EndnoteReference"/>
          <w:lang w:val="en-US"/>
        </w:rPr>
        <w:t xml:space="preserve"> </w:t>
      </w:r>
      <w:r w:rsidR="002A3C47" w:rsidRPr="002A3C47">
        <w:rPr>
          <w:vertAlign w:val="superscript"/>
          <w:lang w:val="en-US"/>
        </w:rPr>
        <w:t>8</w:t>
      </w:r>
    </w:p>
    <w:p w14:paraId="53801481" w14:textId="77777777" w:rsidR="00A4477B" w:rsidRDefault="00556056" w:rsidP="009722AB">
      <w:pPr>
        <w:rPr>
          <w:lang w:val="en-US"/>
        </w:rPr>
      </w:pPr>
      <w:r>
        <w:rPr>
          <w:lang w:val="en-US"/>
        </w:rPr>
        <w:t>Having to seek assistance from others to handle difficult to use products and packaging undermines the independence of older people and is particularly difficult for the one</w:t>
      </w:r>
      <w:r w:rsidR="009722AB">
        <w:rPr>
          <w:lang w:val="en-US"/>
        </w:rPr>
        <w:t xml:space="preserve"> in four older Australians </w:t>
      </w:r>
      <w:r>
        <w:rPr>
          <w:lang w:val="en-US"/>
        </w:rPr>
        <w:t xml:space="preserve">who </w:t>
      </w:r>
      <w:r w:rsidR="009722AB">
        <w:rPr>
          <w:lang w:val="en-US"/>
        </w:rPr>
        <w:t>lives alone</w:t>
      </w:r>
      <w:r>
        <w:rPr>
          <w:lang w:val="en-US"/>
        </w:rPr>
        <w:t>.</w:t>
      </w:r>
      <w:r w:rsidR="00AB6FC8" w:rsidRPr="00AB6FC8">
        <w:rPr>
          <w:rStyle w:val="EndnoteReference"/>
          <w:lang w:val="en-US"/>
        </w:rPr>
        <w:t xml:space="preserve"> </w:t>
      </w:r>
      <w:r w:rsidR="00AB6FC8">
        <w:rPr>
          <w:rStyle w:val="EndnoteReference"/>
          <w:lang w:val="en-US"/>
        </w:rPr>
        <w:endnoteReference w:id="11"/>
      </w:r>
      <w:r w:rsidR="00A4477B" w:rsidRPr="00A4477B">
        <w:rPr>
          <w:lang w:val="en-US"/>
        </w:rPr>
        <w:t xml:space="preserve"> </w:t>
      </w:r>
    </w:p>
    <w:p w14:paraId="739F78EB" w14:textId="77777777" w:rsidR="00556056" w:rsidRDefault="00A4477B" w:rsidP="009722AB">
      <w:pPr>
        <w:rPr>
          <w:lang w:val="en-US"/>
        </w:rPr>
      </w:pPr>
      <w:r>
        <w:rPr>
          <w:lang w:val="en-US"/>
        </w:rPr>
        <w:t xml:space="preserve">Supporting independent living among older people has been identified as a significant strategy for alleviating some of the fiscal and service implications of an ageing population. Accessible product and packaging design can support the desire of older people to remain independent and live in their own home for as long as possible.  </w:t>
      </w:r>
    </w:p>
    <w:p w14:paraId="47EECA54" w14:textId="77777777" w:rsidR="00B24B76" w:rsidRPr="00B24B76" w:rsidRDefault="00B24B76" w:rsidP="00723002">
      <w:pPr>
        <w:rPr>
          <w:b/>
          <w:i/>
          <w:lang w:val="en-US"/>
        </w:rPr>
      </w:pPr>
      <w:r w:rsidRPr="00B24B76">
        <w:rPr>
          <w:b/>
          <w:i/>
          <w:lang w:val="en-US"/>
        </w:rPr>
        <w:t>1.4</w:t>
      </w:r>
      <w:r w:rsidR="001C529A">
        <w:rPr>
          <w:b/>
          <w:i/>
          <w:lang w:val="en-US"/>
        </w:rPr>
        <w:t xml:space="preserve"> </w:t>
      </w:r>
      <w:r w:rsidR="001C529A">
        <w:rPr>
          <w:b/>
          <w:i/>
          <w:lang w:val="en-US"/>
        </w:rPr>
        <w:tab/>
        <w:t>Hospitals and aged care facilities</w:t>
      </w:r>
    </w:p>
    <w:p w14:paraId="2ED4D534" w14:textId="77777777" w:rsidR="005532C4" w:rsidRDefault="00556056" w:rsidP="00723002">
      <w:pPr>
        <w:rPr>
          <w:lang w:val="en-US"/>
        </w:rPr>
      </w:pPr>
      <w:r>
        <w:rPr>
          <w:lang w:val="en-US"/>
        </w:rPr>
        <w:t>Difficult to o</w:t>
      </w:r>
      <w:r w:rsidR="009722AB">
        <w:rPr>
          <w:lang w:val="en-US"/>
        </w:rPr>
        <w:t>pening food packaging ha</w:t>
      </w:r>
      <w:r>
        <w:rPr>
          <w:lang w:val="en-US"/>
        </w:rPr>
        <w:t>s</w:t>
      </w:r>
      <w:r w:rsidR="009722AB">
        <w:rPr>
          <w:lang w:val="en-US"/>
        </w:rPr>
        <w:t xml:space="preserve"> </w:t>
      </w:r>
      <w:r w:rsidR="00AB6FC8">
        <w:rPr>
          <w:lang w:val="en-US"/>
        </w:rPr>
        <w:t xml:space="preserve">also </w:t>
      </w:r>
      <w:r w:rsidR="009722AB">
        <w:rPr>
          <w:lang w:val="en-US"/>
        </w:rPr>
        <w:t>been found to contribute to malnutrition in vulnerable older people.</w:t>
      </w:r>
      <w:r w:rsidR="002A3C47">
        <w:rPr>
          <w:lang w:val="en-US"/>
        </w:rPr>
        <w:t xml:space="preserve"> </w:t>
      </w:r>
      <w:r w:rsidR="002A3C47" w:rsidRPr="002A3C47">
        <w:rPr>
          <w:lang w:val="en-US"/>
        </w:rPr>
        <w:t>The Report of the NSW Special Commission of Inquiry into Acute Care Services in NSW Public Hospitals 2008 (</w:t>
      </w:r>
      <w:proofErr w:type="spellStart"/>
      <w:r w:rsidR="002A3C47" w:rsidRPr="002A3C47">
        <w:rPr>
          <w:lang w:val="en-US"/>
        </w:rPr>
        <w:t>Garling</w:t>
      </w:r>
      <w:proofErr w:type="spellEnd"/>
      <w:r w:rsidR="002A3C47" w:rsidRPr="002A3C47">
        <w:rPr>
          <w:lang w:val="en-US"/>
        </w:rPr>
        <w:t xml:space="preserve"> Report) found that </w:t>
      </w:r>
      <w:r w:rsidR="002A3C47">
        <w:rPr>
          <w:lang w:val="en-US"/>
        </w:rPr>
        <w:t xml:space="preserve">single serve foods used in health environments such as hospitals were often difficult to open for many patients. </w:t>
      </w:r>
      <w:r w:rsidR="00723002" w:rsidRPr="00723002">
        <w:rPr>
          <w:lang w:val="en-US"/>
        </w:rPr>
        <w:t xml:space="preserve">Research conducted in NSW hospitals revealed that one </w:t>
      </w:r>
      <w:r w:rsidR="00AB6FC8">
        <w:rPr>
          <w:lang w:val="en-US"/>
        </w:rPr>
        <w:t xml:space="preserve">in two patients </w:t>
      </w:r>
      <w:r w:rsidR="00723002" w:rsidRPr="00723002">
        <w:rPr>
          <w:lang w:val="en-US"/>
        </w:rPr>
        <w:t>ha</w:t>
      </w:r>
      <w:r w:rsidR="00AB6FC8">
        <w:rPr>
          <w:lang w:val="en-US"/>
        </w:rPr>
        <w:t>d</w:t>
      </w:r>
      <w:r w:rsidR="00723002" w:rsidRPr="00723002">
        <w:rPr>
          <w:lang w:val="en-US"/>
        </w:rPr>
        <w:t xml:space="preserve"> some form of malnutrition, which c</w:t>
      </w:r>
      <w:r w:rsidR="00AB6FC8">
        <w:rPr>
          <w:lang w:val="en-US"/>
        </w:rPr>
        <w:t>ould</w:t>
      </w:r>
      <w:r w:rsidR="00723002" w:rsidRPr="00723002">
        <w:rPr>
          <w:lang w:val="en-US"/>
        </w:rPr>
        <w:t xml:space="preserve"> double hospital stays and triple complications</w:t>
      </w:r>
      <w:r w:rsidR="001539CF">
        <w:rPr>
          <w:lang w:val="en-US"/>
        </w:rPr>
        <w:t>,</w:t>
      </w:r>
      <w:r w:rsidR="0087734F">
        <w:rPr>
          <w:lang w:val="en-US"/>
        </w:rPr>
        <w:t xml:space="preserve"> with one in four patients </w:t>
      </w:r>
      <w:r w:rsidR="0087734F">
        <w:t>becoming malnourished during their stay in hospital.</w:t>
      </w:r>
      <w:r w:rsidR="00723002" w:rsidRPr="00723002">
        <w:rPr>
          <w:lang w:val="en-US"/>
        </w:rPr>
        <w:t xml:space="preserve"> Hard to open </w:t>
      </w:r>
      <w:r w:rsidR="00BA6E9D">
        <w:rPr>
          <w:lang w:val="en-US"/>
        </w:rPr>
        <w:t xml:space="preserve">food </w:t>
      </w:r>
      <w:r w:rsidR="00723002" w:rsidRPr="00723002">
        <w:rPr>
          <w:lang w:val="en-US"/>
        </w:rPr>
        <w:t>packaging</w:t>
      </w:r>
      <w:r w:rsidR="00BA6E9D">
        <w:rPr>
          <w:lang w:val="en-US"/>
        </w:rPr>
        <w:t xml:space="preserve"> for hospital meals</w:t>
      </w:r>
      <w:r w:rsidR="00723002" w:rsidRPr="00723002">
        <w:rPr>
          <w:lang w:val="en-US"/>
        </w:rPr>
        <w:t xml:space="preserve"> contribute</w:t>
      </w:r>
      <w:r w:rsidR="00AB6FC8">
        <w:rPr>
          <w:lang w:val="en-US"/>
        </w:rPr>
        <w:t>d</w:t>
      </w:r>
      <w:r w:rsidR="00723002" w:rsidRPr="00723002">
        <w:rPr>
          <w:lang w:val="en-US"/>
        </w:rPr>
        <w:t xml:space="preserve"> to this issue, with over </w:t>
      </w:r>
      <w:r w:rsidR="0087734F">
        <w:rPr>
          <w:lang w:val="en-US"/>
        </w:rPr>
        <w:t>70</w:t>
      </w:r>
      <w:r w:rsidR="00723002" w:rsidRPr="00723002">
        <w:rPr>
          <w:lang w:val="en-US"/>
        </w:rPr>
        <w:t xml:space="preserve">% of elderly patients experiencing difficulties or </w:t>
      </w:r>
      <w:r w:rsidR="00AB6FC8">
        <w:rPr>
          <w:lang w:val="en-US"/>
        </w:rPr>
        <w:t>being</w:t>
      </w:r>
      <w:r w:rsidR="00723002" w:rsidRPr="00723002">
        <w:rPr>
          <w:lang w:val="en-US"/>
        </w:rPr>
        <w:t xml:space="preserve"> unable to open one or more food packaging items. This issue was not limited to older people</w:t>
      </w:r>
      <w:r w:rsidR="00AB6FC8">
        <w:rPr>
          <w:lang w:val="en-US"/>
        </w:rPr>
        <w:t>,</w:t>
      </w:r>
      <w:r w:rsidR="00723002" w:rsidRPr="00723002">
        <w:rPr>
          <w:lang w:val="en-US"/>
        </w:rPr>
        <w:t xml:space="preserve"> however, with nearly 50% of patients of all ages struggling to open the food packagin</w:t>
      </w:r>
      <w:r w:rsidR="00BA6E9D">
        <w:rPr>
          <w:lang w:val="en-US"/>
        </w:rPr>
        <w:t>g of an average of three items.</w:t>
      </w:r>
      <w:r w:rsidR="00AB6FC8">
        <w:rPr>
          <w:rStyle w:val="EndnoteReference"/>
          <w:lang w:val="en-US"/>
        </w:rPr>
        <w:endnoteReference w:id="12"/>
      </w:r>
      <w:r w:rsidR="005532C4">
        <w:rPr>
          <w:lang w:val="en-US"/>
        </w:rPr>
        <w:t xml:space="preserve">  </w:t>
      </w:r>
    </w:p>
    <w:p w14:paraId="3603F9D1" w14:textId="77777777" w:rsidR="00AB6FC8" w:rsidRPr="00DD15AB" w:rsidRDefault="00234C35" w:rsidP="00AB6FC8">
      <w:pPr>
        <w:rPr>
          <w:b/>
          <w:i/>
          <w:lang w:val="en-US"/>
        </w:rPr>
      </w:pPr>
      <w:r>
        <w:rPr>
          <w:b/>
          <w:i/>
          <w:lang w:val="en-US"/>
        </w:rPr>
        <w:t>1.5</w:t>
      </w:r>
      <w:r w:rsidR="00F73711">
        <w:rPr>
          <w:b/>
          <w:i/>
          <w:lang w:val="en-US"/>
        </w:rPr>
        <w:tab/>
      </w:r>
      <w:r w:rsidR="00AB6FC8" w:rsidRPr="00DD15AB">
        <w:rPr>
          <w:b/>
          <w:i/>
          <w:lang w:val="en-US"/>
        </w:rPr>
        <w:t>Consumer experience</w:t>
      </w:r>
    </w:p>
    <w:p w14:paraId="51939D2B" w14:textId="77777777" w:rsidR="004247DC" w:rsidRDefault="00EB1E23" w:rsidP="00AB6FC8">
      <w:pPr>
        <w:rPr>
          <w:rFonts w:eastAsia="Arial"/>
        </w:rPr>
      </w:pPr>
      <w:r w:rsidRPr="001C7B21">
        <w:rPr>
          <w:rFonts w:eastAsia="Arial"/>
        </w:rPr>
        <w:lastRenderedPageBreak/>
        <w:t>All consumers are impacted by hard-to-open packaging, as when packaging is unable to be opened it fails to meet one of packaging’s key functions, which is to provide convenience of use for the end consumer</w:t>
      </w:r>
      <w:r>
        <w:rPr>
          <w:rFonts w:eastAsia="Arial"/>
        </w:rPr>
        <w:t>.</w:t>
      </w:r>
      <w:r>
        <w:rPr>
          <w:rStyle w:val="EndnoteReference"/>
          <w:rFonts w:eastAsia="Arial"/>
        </w:rPr>
        <w:endnoteReference w:id="13"/>
      </w:r>
      <w:r>
        <w:rPr>
          <w:rFonts w:eastAsia="Arial"/>
        </w:rPr>
        <w:t xml:space="preserve"> </w:t>
      </w:r>
    </w:p>
    <w:p w14:paraId="27015716" w14:textId="77777777" w:rsidR="00AB6FC8" w:rsidRPr="004661FC" w:rsidRDefault="00EB1E23" w:rsidP="00AB6FC8">
      <w:pPr>
        <w:rPr>
          <w:lang w:val="en-US"/>
        </w:rPr>
      </w:pPr>
      <w:r>
        <w:rPr>
          <w:lang w:val="en-US"/>
        </w:rPr>
        <w:t>R</w:t>
      </w:r>
      <w:r w:rsidR="00AB6FC8">
        <w:rPr>
          <w:lang w:val="en-US"/>
        </w:rPr>
        <w:t xml:space="preserve">esearch on consumer experience with packaging, for example, </w:t>
      </w:r>
      <w:r w:rsidR="00AB6FC8" w:rsidRPr="00AD4961">
        <w:rPr>
          <w:lang w:val="en-US"/>
        </w:rPr>
        <w:t xml:space="preserve">has </w:t>
      </w:r>
      <w:r w:rsidR="00AB6FC8">
        <w:rPr>
          <w:lang w:val="en-US"/>
        </w:rPr>
        <w:t>found high levels of dissatisfaction and injury:</w:t>
      </w:r>
      <w:r w:rsidR="00AB6FC8" w:rsidRPr="00AD4961">
        <w:rPr>
          <w:bCs/>
          <w:iCs/>
        </w:rPr>
        <w:t xml:space="preserve"> </w:t>
      </w:r>
    </w:p>
    <w:p w14:paraId="7976A002" w14:textId="77777777" w:rsidR="001F65CC" w:rsidRPr="0041237B" w:rsidRDefault="001F65CC" w:rsidP="001F65CC">
      <w:pPr>
        <w:pStyle w:val="ListParagraph"/>
        <w:numPr>
          <w:ilvl w:val="0"/>
          <w:numId w:val="6"/>
        </w:numPr>
        <w:rPr>
          <w:lang w:val="en-US"/>
        </w:rPr>
      </w:pPr>
      <w:r w:rsidRPr="0041237B">
        <w:rPr>
          <w:lang w:val="en-US"/>
        </w:rPr>
        <w:t>In the UK, 49,000-60,000 people annually required hospital treatment due to injuries caused whilst opening difficult packaging</w:t>
      </w:r>
      <w:r>
        <w:rPr>
          <w:lang w:val="en-US"/>
        </w:rPr>
        <w:t xml:space="preserve"> ma</w:t>
      </w:r>
      <w:r w:rsidRPr="0041237B">
        <w:rPr>
          <w:lang w:val="en-US"/>
        </w:rPr>
        <w:t>inly due to consumers undertaking desperate actions and using tools such as knives</w:t>
      </w:r>
      <w:r>
        <w:rPr>
          <w:lang w:val="en-US"/>
        </w:rPr>
        <w:t xml:space="preserve"> </w:t>
      </w:r>
      <w:r w:rsidRPr="0041237B">
        <w:rPr>
          <w:lang w:val="en-US"/>
        </w:rPr>
        <w:t>to open the packaging in a way not intended by the manufacturer</w:t>
      </w:r>
      <w:r>
        <w:rPr>
          <w:lang w:val="en-US"/>
        </w:rPr>
        <w:t>.</w:t>
      </w:r>
      <w:r w:rsidR="001539CF" w:rsidRPr="001539CF">
        <w:rPr>
          <w:vertAlign w:val="superscript"/>
          <w:lang w:val="en-US"/>
        </w:rPr>
        <w:t xml:space="preserve"> </w:t>
      </w:r>
      <w:r w:rsidR="001539CF" w:rsidRPr="0041237B">
        <w:rPr>
          <w:vertAlign w:val="superscript"/>
          <w:lang w:val="en-US"/>
        </w:rPr>
        <w:endnoteReference w:id="14"/>
      </w:r>
    </w:p>
    <w:p w14:paraId="56E575B2" w14:textId="77777777" w:rsidR="00AB6FC8" w:rsidRPr="00AB6FC8" w:rsidRDefault="00AB6FC8" w:rsidP="00AB6FC8">
      <w:pPr>
        <w:pStyle w:val="ListParagraph"/>
        <w:numPr>
          <w:ilvl w:val="0"/>
          <w:numId w:val="6"/>
        </w:numPr>
        <w:rPr>
          <w:iCs/>
        </w:rPr>
      </w:pPr>
      <w:r w:rsidRPr="00AD4961">
        <w:rPr>
          <w:bCs/>
          <w:iCs/>
        </w:rPr>
        <w:t xml:space="preserve">1-in-2 </w:t>
      </w:r>
      <w:r w:rsidRPr="00AD4961">
        <w:rPr>
          <w:iCs/>
        </w:rPr>
        <w:t xml:space="preserve">Australians have </w:t>
      </w:r>
      <w:r w:rsidRPr="00AD4961">
        <w:rPr>
          <w:bCs/>
          <w:iCs/>
        </w:rPr>
        <w:t>injured</w:t>
      </w:r>
      <w:r w:rsidRPr="00AD4961">
        <w:rPr>
          <w:iCs/>
        </w:rPr>
        <w:t xml:space="preserve"> thems</w:t>
      </w:r>
      <w:r>
        <w:rPr>
          <w:iCs/>
        </w:rPr>
        <w:t>elves opening packaging,</w:t>
      </w:r>
      <w:r w:rsidRPr="00AD4961">
        <w:rPr>
          <w:iCs/>
        </w:rPr>
        <w:t xml:space="preserve"> including </w:t>
      </w:r>
      <w:r w:rsidRPr="00AD4961">
        <w:rPr>
          <w:bCs/>
          <w:iCs/>
        </w:rPr>
        <w:t xml:space="preserve">deep cuts </w:t>
      </w:r>
      <w:r w:rsidRPr="00AD4961">
        <w:rPr>
          <w:iCs/>
        </w:rPr>
        <w:t>&amp;</w:t>
      </w:r>
      <w:r w:rsidR="00EB1E23">
        <w:rPr>
          <w:bCs/>
          <w:iCs/>
        </w:rPr>
        <w:t xml:space="preserve"> chipped teet</w:t>
      </w:r>
      <w:r w:rsidR="001F65CC">
        <w:rPr>
          <w:bCs/>
          <w:iCs/>
        </w:rPr>
        <w:t>h.</w:t>
      </w:r>
      <w:r w:rsidR="004247DC" w:rsidRPr="004247DC">
        <w:rPr>
          <w:bCs/>
          <w:iCs/>
          <w:vertAlign w:val="superscript"/>
        </w:rPr>
        <w:t>1</w:t>
      </w:r>
    </w:p>
    <w:p w14:paraId="3BE10901" w14:textId="77777777" w:rsidR="00AB6FC8" w:rsidRPr="00AD4961" w:rsidRDefault="00AB6FC8" w:rsidP="00AB6FC8">
      <w:pPr>
        <w:pStyle w:val="ListParagraph"/>
        <w:numPr>
          <w:ilvl w:val="0"/>
          <w:numId w:val="6"/>
        </w:numPr>
        <w:rPr>
          <w:iCs/>
        </w:rPr>
      </w:pPr>
      <w:r w:rsidRPr="00AD4961">
        <w:rPr>
          <w:bCs/>
          <w:iCs/>
          <w:lang w:val="en-US"/>
        </w:rPr>
        <w:t xml:space="preserve">89% </w:t>
      </w:r>
      <w:r w:rsidRPr="00AD4961">
        <w:rPr>
          <w:iCs/>
          <w:lang w:val="en-US"/>
        </w:rPr>
        <w:t xml:space="preserve">of consumers </w:t>
      </w:r>
      <w:r w:rsidR="001F65CC">
        <w:rPr>
          <w:iCs/>
          <w:lang w:val="en-US"/>
        </w:rPr>
        <w:t xml:space="preserve">in Australia, New Zealand and Malaysia </w:t>
      </w:r>
      <w:r w:rsidRPr="00AD4961">
        <w:rPr>
          <w:iCs/>
          <w:lang w:val="en-US"/>
        </w:rPr>
        <w:t xml:space="preserve">experience </w:t>
      </w:r>
      <w:r w:rsidRPr="00AD4961">
        <w:rPr>
          <w:bCs/>
          <w:iCs/>
          <w:lang w:val="en-US"/>
        </w:rPr>
        <w:t xml:space="preserve">frustration or fury </w:t>
      </w:r>
      <w:r w:rsidRPr="00AD4961">
        <w:rPr>
          <w:iCs/>
          <w:lang w:val="en-US"/>
        </w:rPr>
        <w:t>when struggling with packaging</w:t>
      </w:r>
      <w:r w:rsidR="001F65CC">
        <w:rPr>
          <w:iCs/>
          <w:lang w:val="en-US"/>
        </w:rPr>
        <w:t>.</w:t>
      </w:r>
      <w:r w:rsidR="001F65CC" w:rsidRPr="001F65CC">
        <w:rPr>
          <w:iCs/>
          <w:vertAlign w:val="superscript"/>
          <w:lang w:val="en-US"/>
        </w:rPr>
        <w:t>1</w:t>
      </w:r>
    </w:p>
    <w:p w14:paraId="43232EF3" w14:textId="77777777" w:rsidR="00AB6FC8" w:rsidRPr="004247DC" w:rsidRDefault="00AB6FC8" w:rsidP="00AB6FC8">
      <w:pPr>
        <w:pStyle w:val="ListParagraph"/>
        <w:numPr>
          <w:ilvl w:val="0"/>
          <w:numId w:val="6"/>
        </w:numPr>
        <w:rPr>
          <w:iCs/>
        </w:rPr>
      </w:pPr>
      <w:r w:rsidRPr="00AD4961">
        <w:rPr>
          <w:bCs/>
          <w:iCs/>
        </w:rPr>
        <w:t xml:space="preserve">65% </w:t>
      </w:r>
      <w:r w:rsidRPr="00AD4961">
        <w:rPr>
          <w:iCs/>
        </w:rPr>
        <w:t xml:space="preserve">of consumers </w:t>
      </w:r>
      <w:r w:rsidR="001F65CC">
        <w:rPr>
          <w:iCs/>
        </w:rPr>
        <w:t xml:space="preserve">often </w:t>
      </w:r>
      <w:r w:rsidRPr="00AD4961">
        <w:rPr>
          <w:iCs/>
        </w:rPr>
        <w:t xml:space="preserve">have to </w:t>
      </w:r>
      <w:r w:rsidRPr="00AD4961">
        <w:rPr>
          <w:bCs/>
          <w:iCs/>
        </w:rPr>
        <w:t>wait for someone to open packaging</w:t>
      </w:r>
      <w:r w:rsidRPr="00AD4961">
        <w:rPr>
          <w:iCs/>
        </w:rPr>
        <w:t xml:space="preserve"> for them</w:t>
      </w:r>
      <w:r w:rsidR="001F65CC">
        <w:rPr>
          <w:iCs/>
        </w:rPr>
        <w:t>.</w:t>
      </w:r>
      <w:r w:rsidR="00632D66" w:rsidRPr="004661FC">
        <w:rPr>
          <w:vertAlign w:val="superscript"/>
          <w:lang w:val="en-US"/>
        </w:rPr>
        <w:t>1 2</w:t>
      </w:r>
    </w:p>
    <w:p w14:paraId="37CCF3F9" w14:textId="77777777" w:rsidR="00234C35" w:rsidRDefault="00234C35" w:rsidP="003D52B6">
      <w:pPr>
        <w:rPr>
          <w:iCs/>
        </w:rPr>
      </w:pPr>
      <w:r w:rsidRPr="003D52B6">
        <w:rPr>
          <w:iCs/>
        </w:rPr>
        <w:t xml:space="preserve">Recent surveys comparing consumer and packaging industry professionals’ perceptions relating to difficult to open packaging have found that industry substantially underestimates the extent of the problem and the way in which consumers are affected. These surveys revealed that 44% of consumers struggle with packaging everyday while industry perceived that consumers would most likely struggle with packaging only once or twice a week. In addition </w:t>
      </w:r>
      <w:r w:rsidRPr="003D52B6">
        <w:rPr>
          <w:bCs/>
          <w:iCs/>
          <w:lang w:val="en-US"/>
        </w:rPr>
        <w:t xml:space="preserve">92% </w:t>
      </w:r>
      <w:r w:rsidRPr="003D52B6">
        <w:rPr>
          <w:iCs/>
          <w:lang w:val="en-US"/>
        </w:rPr>
        <w:t xml:space="preserve">of consumers </w:t>
      </w:r>
      <w:r w:rsidR="003D52B6">
        <w:rPr>
          <w:iCs/>
          <w:lang w:val="en-US"/>
        </w:rPr>
        <w:t xml:space="preserve">reported </w:t>
      </w:r>
      <w:r w:rsidR="003D52B6">
        <w:rPr>
          <w:bCs/>
          <w:iCs/>
          <w:lang w:val="en-US"/>
        </w:rPr>
        <w:t xml:space="preserve">spilling </w:t>
      </w:r>
      <w:r w:rsidRPr="003D52B6">
        <w:rPr>
          <w:bCs/>
          <w:iCs/>
          <w:lang w:val="en-US"/>
        </w:rPr>
        <w:t>or damag</w:t>
      </w:r>
      <w:r w:rsidR="003D52B6">
        <w:rPr>
          <w:bCs/>
          <w:iCs/>
          <w:lang w:val="en-US"/>
        </w:rPr>
        <w:t>ing</w:t>
      </w:r>
      <w:r w:rsidRPr="003D52B6">
        <w:rPr>
          <w:bCs/>
          <w:iCs/>
          <w:lang w:val="en-US"/>
        </w:rPr>
        <w:t xml:space="preserve"> </w:t>
      </w:r>
      <w:r w:rsidRPr="003D52B6">
        <w:rPr>
          <w:iCs/>
          <w:lang w:val="en-US"/>
        </w:rPr>
        <w:t>a product when trying to open the packagin</w:t>
      </w:r>
      <w:r w:rsidR="003D52B6" w:rsidRPr="003D52B6">
        <w:rPr>
          <w:iCs/>
          <w:lang w:val="en-US"/>
        </w:rPr>
        <w:t xml:space="preserve">g, while industry perceived </w:t>
      </w:r>
      <w:r w:rsidR="003D52B6">
        <w:rPr>
          <w:iCs/>
          <w:lang w:val="en-US"/>
        </w:rPr>
        <w:t>that only 25% of consumers would report this experience.</w:t>
      </w:r>
      <w:r>
        <w:rPr>
          <w:rStyle w:val="EndnoteReference"/>
          <w:iCs/>
        </w:rPr>
        <w:endnoteReference w:id="15"/>
      </w:r>
      <w:r w:rsidR="001F65CC">
        <w:rPr>
          <w:iCs/>
          <w:lang w:val="en-US"/>
        </w:rPr>
        <w:t xml:space="preserve">  </w:t>
      </w:r>
      <w:r w:rsidR="001D669D">
        <w:rPr>
          <w:iCs/>
          <w:lang w:val="en-US"/>
        </w:rPr>
        <w:t>These surveys highlight the importance of improving industry understanding of the experience of consumers with a diverse range of abilities and impair</w:t>
      </w:r>
      <w:r w:rsidR="001539CF">
        <w:rPr>
          <w:iCs/>
          <w:lang w:val="en-US"/>
        </w:rPr>
        <w:t>ments in using their products and packaging.</w:t>
      </w:r>
    </w:p>
    <w:p w14:paraId="4CB86D2D" w14:textId="77777777" w:rsidR="00234C35" w:rsidRPr="00234C35" w:rsidRDefault="00234C35" w:rsidP="00234C35">
      <w:pPr>
        <w:pStyle w:val="ListParagraph"/>
        <w:numPr>
          <w:ilvl w:val="0"/>
          <w:numId w:val="7"/>
        </w:numPr>
        <w:rPr>
          <w:b/>
          <w:sz w:val="28"/>
          <w:szCs w:val="28"/>
          <w:lang w:val="en-US"/>
        </w:rPr>
      </w:pPr>
      <w:r w:rsidRPr="00234C35">
        <w:rPr>
          <w:b/>
          <w:sz w:val="28"/>
          <w:szCs w:val="28"/>
          <w:lang w:val="en-US"/>
        </w:rPr>
        <w:t>Benefits of Accessible</w:t>
      </w:r>
      <w:r w:rsidR="005042DC">
        <w:rPr>
          <w:b/>
          <w:sz w:val="28"/>
          <w:szCs w:val="28"/>
          <w:lang w:val="en-US"/>
        </w:rPr>
        <w:t xml:space="preserve"> Product</w:t>
      </w:r>
      <w:r w:rsidRPr="00234C35">
        <w:rPr>
          <w:b/>
          <w:sz w:val="28"/>
          <w:szCs w:val="28"/>
          <w:lang w:val="en-US"/>
        </w:rPr>
        <w:t xml:space="preserve"> Design</w:t>
      </w:r>
    </w:p>
    <w:p w14:paraId="5A412965" w14:textId="77777777" w:rsidR="00234C35" w:rsidRDefault="00654E9D" w:rsidP="003C1872">
      <w:pPr>
        <w:rPr>
          <w:iCs/>
        </w:rPr>
      </w:pPr>
      <w:r w:rsidRPr="00654E9D">
        <w:rPr>
          <w:iCs/>
        </w:rPr>
        <w:t xml:space="preserve">While accessible product design usually </w:t>
      </w:r>
      <w:r>
        <w:rPr>
          <w:iCs/>
        </w:rPr>
        <w:t>centres</w:t>
      </w:r>
      <w:r w:rsidRPr="00654E9D">
        <w:rPr>
          <w:iCs/>
        </w:rPr>
        <w:t xml:space="preserve"> on the needs of people with</w:t>
      </w:r>
      <w:r>
        <w:rPr>
          <w:iCs/>
        </w:rPr>
        <w:t xml:space="preserve"> disabilities, improved design can benefit everyone. The benefits of a</w:t>
      </w:r>
      <w:r w:rsidR="003D52B6">
        <w:rPr>
          <w:iCs/>
        </w:rPr>
        <w:t xml:space="preserve">ccessible </w:t>
      </w:r>
      <w:r w:rsidR="005042DC">
        <w:rPr>
          <w:iCs/>
        </w:rPr>
        <w:t xml:space="preserve">product </w:t>
      </w:r>
      <w:r w:rsidR="003D52B6">
        <w:rPr>
          <w:iCs/>
        </w:rPr>
        <w:t xml:space="preserve">design </w:t>
      </w:r>
      <w:r>
        <w:rPr>
          <w:iCs/>
        </w:rPr>
        <w:t>include</w:t>
      </w:r>
      <w:r w:rsidR="003D52B6">
        <w:rPr>
          <w:iCs/>
        </w:rPr>
        <w:t>:</w:t>
      </w:r>
    </w:p>
    <w:p w14:paraId="10DDDD90" w14:textId="77777777" w:rsidR="005042DC" w:rsidRDefault="005042DC" w:rsidP="005042DC">
      <w:pPr>
        <w:pStyle w:val="ListParagraph"/>
        <w:numPr>
          <w:ilvl w:val="0"/>
          <w:numId w:val="10"/>
        </w:numPr>
        <w:rPr>
          <w:iCs/>
        </w:rPr>
      </w:pPr>
      <w:r>
        <w:rPr>
          <w:iCs/>
        </w:rPr>
        <w:t>Allowing more people to use and enjoy products</w:t>
      </w:r>
      <w:r w:rsidR="00654E9D">
        <w:rPr>
          <w:iCs/>
        </w:rPr>
        <w:t>.</w:t>
      </w:r>
    </w:p>
    <w:p w14:paraId="2A8996EF" w14:textId="77777777" w:rsidR="005042DC" w:rsidRPr="005042DC" w:rsidRDefault="005042DC" w:rsidP="005042DC">
      <w:pPr>
        <w:pStyle w:val="ListParagraph"/>
        <w:numPr>
          <w:ilvl w:val="0"/>
          <w:numId w:val="10"/>
        </w:numPr>
        <w:rPr>
          <w:iCs/>
        </w:rPr>
      </w:pPr>
      <w:r>
        <w:rPr>
          <w:iCs/>
        </w:rPr>
        <w:t>Supporting</w:t>
      </w:r>
      <w:r w:rsidRPr="005042DC">
        <w:rPr>
          <w:lang w:val="en-US"/>
        </w:rPr>
        <w:t xml:space="preserve"> </w:t>
      </w:r>
      <w:r>
        <w:rPr>
          <w:lang w:val="en-US"/>
        </w:rPr>
        <w:t>independence, enablement and empowerment for people with impairments that affect their ability to use standard consumer products</w:t>
      </w:r>
      <w:r w:rsidR="00654E9D">
        <w:rPr>
          <w:lang w:val="en-US"/>
        </w:rPr>
        <w:t>.</w:t>
      </w:r>
    </w:p>
    <w:p w14:paraId="7B701C72" w14:textId="77777777" w:rsidR="00654E9D" w:rsidRDefault="005042DC" w:rsidP="00654E9D">
      <w:pPr>
        <w:pStyle w:val="ListParagraph"/>
        <w:numPr>
          <w:ilvl w:val="0"/>
          <w:numId w:val="10"/>
        </w:numPr>
        <w:rPr>
          <w:iCs/>
        </w:rPr>
      </w:pPr>
      <w:r>
        <w:rPr>
          <w:lang w:val="en-US"/>
        </w:rPr>
        <w:t>Contributing to a more inclusive society.</w:t>
      </w:r>
      <w:r w:rsidR="00654E9D" w:rsidRPr="00654E9D">
        <w:rPr>
          <w:iCs/>
        </w:rPr>
        <w:t xml:space="preserve"> </w:t>
      </w:r>
    </w:p>
    <w:p w14:paraId="17004883" w14:textId="77777777" w:rsidR="00654E9D" w:rsidRDefault="00654E9D" w:rsidP="00654E9D">
      <w:pPr>
        <w:pStyle w:val="ListParagraph"/>
        <w:numPr>
          <w:ilvl w:val="0"/>
          <w:numId w:val="10"/>
        </w:numPr>
        <w:rPr>
          <w:iCs/>
        </w:rPr>
      </w:pPr>
      <w:r>
        <w:rPr>
          <w:iCs/>
        </w:rPr>
        <w:t>Improving the consumer experience for everyone.</w:t>
      </w:r>
    </w:p>
    <w:p w14:paraId="00EA9040" w14:textId="77777777" w:rsidR="006555A8" w:rsidRDefault="006A1DA4" w:rsidP="00513AC2">
      <w:pPr>
        <w:rPr>
          <w:lang w:val="en-US"/>
        </w:rPr>
      </w:pPr>
      <w:r>
        <w:rPr>
          <w:lang w:val="en-US"/>
        </w:rPr>
        <w:t>A commitment to accessible product and packaging design a</w:t>
      </w:r>
      <w:r w:rsidR="006555A8">
        <w:rPr>
          <w:lang w:val="en-US"/>
        </w:rPr>
        <w:t>lso offers commercial benefits, including</w:t>
      </w:r>
    </w:p>
    <w:p w14:paraId="41ACA5BE" w14:textId="77777777" w:rsidR="006555A8" w:rsidRDefault="006555A8" w:rsidP="006555A8">
      <w:pPr>
        <w:pStyle w:val="ListParagraph"/>
        <w:numPr>
          <w:ilvl w:val="0"/>
          <w:numId w:val="1"/>
        </w:numPr>
        <w:rPr>
          <w:lang w:val="en-US"/>
        </w:rPr>
      </w:pPr>
      <w:r>
        <w:rPr>
          <w:lang w:val="en-US"/>
        </w:rPr>
        <w:t>The capacity to address the needs of a growing market of disabled and older customers.</w:t>
      </w:r>
    </w:p>
    <w:p w14:paraId="175F303C" w14:textId="77777777" w:rsidR="006555A8" w:rsidRDefault="006555A8" w:rsidP="006555A8">
      <w:pPr>
        <w:pStyle w:val="ListParagraph"/>
        <w:numPr>
          <w:ilvl w:val="0"/>
          <w:numId w:val="1"/>
        </w:numPr>
        <w:rPr>
          <w:lang w:val="en-US"/>
        </w:rPr>
      </w:pPr>
      <w:r>
        <w:rPr>
          <w:lang w:val="en-US"/>
        </w:rPr>
        <w:t>Improved customer satisfaction.</w:t>
      </w:r>
    </w:p>
    <w:p w14:paraId="39CA344E" w14:textId="77777777" w:rsidR="006555A8" w:rsidRDefault="006555A8" w:rsidP="006555A8">
      <w:pPr>
        <w:pStyle w:val="ListParagraph"/>
        <w:numPr>
          <w:ilvl w:val="0"/>
          <w:numId w:val="1"/>
        </w:numPr>
        <w:rPr>
          <w:lang w:val="en-US"/>
        </w:rPr>
      </w:pPr>
      <w:r>
        <w:rPr>
          <w:lang w:val="en-US"/>
        </w:rPr>
        <w:t xml:space="preserve">A competitive advantage in the market place. </w:t>
      </w:r>
    </w:p>
    <w:p w14:paraId="1D456B41" w14:textId="77777777" w:rsidR="006555A8" w:rsidRDefault="006555A8" w:rsidP="006555A8">
      <w:pPr>
        <w:pStyle w:val="ListParagraph"/>
        <w:numPr>
          <w:ilvl w:val="0"/>
          <w:numId w:val="1"/>
        </w:numPr>
        <w:rPr>
          <w:lang w:val="en-US"/>
        </w:rPr>
      </w:pPr>
      <w:r>
        <w:rPr>
          <w:lang w:val="en-US"/>
        </w:rPr>
        <w:t>Improved brand image and customer brand loyalty.</w:t>
      </w:r>
    </w:p>
    <w:p w14:paraId="0B306B11" w14:textId="77777777" w:rsidR="008609E7" w:rsidRDefault="006A1DA4" w:rsidP="00513AC2">
      <w:pPr>
        <w:rPr>
          <w:lang w:val="en-US"/>
        </w:rPr>
      </w:pPr>
      <w:r w:rsidRPr="00540992">
        <w:rPr>
          <w:lang w:val="en-US"/>
        </w:rPr>
        <w:t>Nearly 20 per</w:t>
      </w:r>
      <w:r w:rsidR="00540992">
        <w:rPr>
          <w:lang w:val="en-US"/>
        </w:rPr>
        <w:t xml:space="preserve">cent of older consumers, </w:t>
      </w:r>
      <w:r w:rsidR="00540992" w:rsidRPr="00540992">
        <w:rPr>
          <w:lang w:val="en-US"/>
        </w:rPr>
        <w:t xml:space="preserve">for example, </w:t>
      </w:r>
      <w:r w:rsidRPr="00540992">
        <w:rPr>
          <w:lang w:val="en-US"/>
        </w:rPr>
        <w:t>make the decisi</w:t>
      </w:r>
      <w:r w:rsidR="00540992" w:rsidRPr="00540992">
        <w:rPr>
          <w:lang w:val="en-US"/>
        </w:rPr>
        <w:t>on to stop purchasing a product</w:t>
      </w:r>
      <w:r w:rsidRPr="00540992">
        <w:rPr>
          <w:lang w:val="en-US"/>
        </w:rPr>
        <w:t xml:space="preserve"> or change products/ brands based on difficult experiences with </w:t>
      </w:r>
      <w:r w:rsidR="001539CF">
        <w:rPr>
          <w:lang w:val="en-US"/>
        </w:rPr>
        <w:t>packaging.</w:t>
      </w:r>
      <w:r w:rsidR="001539CF">
        <w:rPr>
          <w:rStyle w:val="EndnoteReference"/>
          <w:lang w:val="en-US"/>
        </w:rPr>
        <w:endnoteReference w:id="16"/>
      </w:r>
      <w:r w:rsidR="008609E7">
        <w:rPr>
          <w:lang w:val="en-US"/>
        </w:rPr>
        <w:t xml:space="preserve"> I</w:t>
      </w:r>
      <w:r w:rsidR="008609E7" w:rsidRPr="008609E7">
        <w:rPr>
          <w:lang w:val="en-US"/>
        </w:rPr>
        <w:t>mproving the consumer experience with packaging adds value</w:t>
      </w:r>
      <w:r w:rsidR="006555A8">
        <w:rPr>
          <w:lang w:val="en-US"/>
        </w:rPr>
        <w:t xml:space="preserve"> and </w:t>
      </w:r>
      <w:r w:rsidR="00E44C7D">
        <w:rPr>
          <w:lang w:val="en-US"/>
        </w:rPr>
        <w:t xml:space="preserve">a </w:t>
      </w:r>
      <w:r w:rsidR="006555A8">
        <w:rPr>
          <w:lang w:val="en-US"/>
        </w:rPr>
        <w:t>competitive advantage</w:t>
      </w:r>
      <w:r w:rsidR="00E44C7D">
        <w:rPr>
          <w:rStyle w:val="EndnoteReference"/>
          <w:lang w:val="en-US"/>
        </w:rPr>
        <w:endnoteReference w:id="17"/>
      </w:r>
      <w:r w:rsidR="008609E7" w:rsidRPr="008609E7">
        <w:rPr>
          <w:lang w:val="en-US"/>
        </w:rPr>
        <w:t xml:space="preserve"> </w:t>
      </w:r>
      <w:r w:rsidR="00E44C7D">
        <w:rPr>
          <w:lang w:val="en-US"/>
        </w:rPr>
        <w:t>a</w:t>
      </w:r>
      <w:r w:rsidR="008609E7" w:rsidRPr="008609E7">
        <w:rPr>
          <w:lang w:val="en-US"/>
        </w:rPr>
        <w:t>nd easy to use packaging also creates brand loyalty.</w:t>
      </w:r>
      <w:r w:rsidR="008609E7">
        <w:rPr>
          <w:lang w:val="en-US"/>
        </w:rPr>
        <w:t xml:space="preserve"> </w:t>
      </w:r>
      <w:r w:rsidR="00E44C7D">
        <w:rPr>
          <w:rStyle w:val="EndnoteReference"/>
          <w:lang w:val="en-US"/>
        </w:rPr>
        <w:endnoteReference w:id="18"/>
      </w:r>
    </w:p>
    <w:p w14:paraId="5B882578" w14:textId="77777777" w:rsidR="001D669D" w:rsidRPr="007F475F" w:rsidRDefault="001972EF" w:rsidP="007F475F">
      <w:pPr>
        <w:pStyle w:val="ListParagraph"/>
        <w:numPr>
          <w:ilvl w:val="0"/>
          <w:numId w:val="7"/>
        </w:numPr>
        <w:rPr>
          <w:b/>
          <w:sz w:val="28"/>
          <w:szCs w:val="28"/>
          <w:lang w:val="en-US"/>
        </w:rPr>
      </w:pPr>
      <w:r w:rsidRPr="007F475F">
        <w:rPr>
          <w:b/>
          <w:sz w:val="28"/>
          <w:szCs w:val="28"/>
          <w:lang w:val="en-US"/>
        </w:rPr>
        <w:t xml:space="preserve">Advocacy for </w:t>
      </w:r>
      <w:r w:rsidR="001D669D" w:rsidRPr="007F475F">
        <w:rPr>
          <w:b/>
          <w:sz w:val="28"/>
          <w:szCs w:val="28"/>
          <w:lang w:val="en-US"/>
        </w:rPr>
        <w:t>Accessible Design</w:t>
      </w:r>
    </w:p>
    <w:p w14:paraId="11125293" w14:textId="77777777" w:rsidR="00B90F0C" w:rsidRDefault="00B90F0C" w:rsidP="001D669D">
      <w:pPr>
        <w:rPr>
          <w:lang w:val="en-US"/>
        </w:rPr>
      </w:pPr>
      <w:r>
        <w:rPr>
          <w:lang w:val="en-US"/>
        </w:rPr>
        <w:lastRenderedPageBreak/>
        <w:t>D</w:t>
      </w:r>
      <w:r w:rsidRPr="008609E7">
        <w:rPr>
          <w:lang w:val="en-US"/>
        </w:rPr>
        <w:t xml:space="preserve">esigning products </w:t>
      </w:r>
      <w:r>
        <w:rPr>
          <w:lang w:val="en-US"/>
        </w:rPr>
        <w:t xml:space="preserve">and </w:t>
      </w:r>
      <w:r w:rsidRPr="008609E7">
        <w:rPr>
          <w:lang w:val="en-US"/>
        </w:rPr>
        <w:t>packaging to consider the differing needs of a broader and more diverse consumer base</w:t>
      </w:r>
      <w:r>
        <w:rPr>
          <w:lang w:val="en-US"/>
        </w:rPr>
        <w:t xml:space="preserve"> is part of </w:t>
      </w:r>
      <w:r w:rsidRPr="008609E7">
        <w:rPr>
          <w:lang w:val="en-US"/>
        </w:rPr>
        <w:t>inclusive and universal design</w:t>
      </w:r>
      <w:r>
        <w:rPr>
          <w:lang w:val="en-US"/>
        </w:rPr>
        <w:t xml:space="preserve"> principles, but these concepts are</w:t>
      </w:r>
      <w:r w:rsidRPr="008609E7">
        <w:rPr>
          <w:lang w:val="en-US"/>
        </w:rPr>
        <w:t xml:space="preserve"> still consider</w:t>
      </w:r>
      <w:r>
        <w:rPr>
          <w:lang w:val="en-US"/>
        </w:rPr>
        <w:t>ed relatively new.</w:t>
      </w:r>
      <w:r w:rsidRPr="00E44C7D">
        <w:rPr>
          <w:vertAlign w:val="superscript"/>
          <w:lang w:val="en-US"/>
        </w:rPr>
        <w:t>17</w:t>
      </w:r>
      <w:r w:rsidRPr="008609E7">
        <w:rPr>
          <w:lang w:val="en-US"/>
        </w:rPr>
        <w:t xml:space="preserve"> </w:t>
      </w:r>
      <w:r>
        <w:rPr>
          <w:lang w:val="en-US"/>
        </w:rPr>
        <w:t>M</w:t>
      </w:r>
      <w:r w:rsidRPr="008609E7">
        <w:rPr>
          <w:lang w:val="en-US"/>
        </w:rPr>
        <w:t xml:space="preserve">ost designers </w:t>
      </w:r>
      <w:r>
        <w:rPr>
          <w:lang w:val="en-US"/>
        </w:rPr>
        <w:t xml:space="preserve">are </w:t>
      </w:r>
      <w:r w:rsidRPr="008609E7">
        <w:rPr>
          <w:lang w:val="en-US"/>
        </w:rPr>
        <w:t xml:space="preserve">aware of research in the field of inclusive design, </w:t>
      </w:r>
      <w:r>
        <w:rPr>
          <w:lang w:val="en-US"/>
        </w:rPr>
        <w:t xml:space="preserve">but </w:t>
      </w:r>
      <w:r w:rsidRPr="008609E7">
        <w:rPr>
          <w:lang w:val="en-US"/>
        </w:rPr>
        <w:t>there is a</w:t>
      </w:r>
      <w:r>
        <w:rPr>
          <w:lang w:val="en-US"/>
        </w:rPr>
        <w:t xml:space="preserve"> gap in knowledge around</w:t>
      </w:r>
      <w:r w:rsidRPr="008609E7">
        <w:rPr>
          <w:lang w:val="en-US"/>
        </w:rPr>
        <w:t xml:space="preserve"> </w:t>
      </w:r>
      <w:r>
        <w:rPr>
          <w:lang w:val="en-US"/>
        </w:rPr>
        <w:t>how it can be implemented, which needs to be addressed.</w:t>
      </w:r>
      <w:r w:rsidRPr="00E44C7D">
        <w:rPr>
          <w:vertAlign w:val="superscript"/>
          <w:lang w:val="en-US"/>
        </w:rPr>
        <w:t>17</w:t>
      </w:r>
      <w:r>
        <w:rPr>
          <w:vertAlign w:val="superscript"/>
          <w:lang w:val="en-US"/>
        </w:rPr>
        <w:t xml:space="preserve"> </w:t>
      </w:r>
      <w:r>
        <w:rPr>
          <w:lang w:val="en-US"/>
        </w:rPr>
        <w:t>Many</w:t>
      </w:r>
      <w:r w:rsidRPr="00B90F0C">
        <w:rPr>
          <w:lang w:val="en-US"/>
        </w:rPr>
        <w:t xml:space="preserve"> organisations </w:t>
      </w:r>
      <w:r>
        <w:rPr>
          <w:lang w:val="en-US"/>
        </w:rPr>
        <w:t xml:space="preserve">consider </w:t>
      </w:r>
      <w:r w:rsidRPr="00B90F0C">
        <w:rPr>
          <w:lang w:val="en-US"/>
        </w:rPr>
        <w:t>packaging development</w:t>
      </w:r>
      <w:r>
        <w:rPr>
          <w:lang w:val="en-US"/>
        </w:rPr>
        <w:t xml:space="preserve"> mainly</w:t>
      </w:r>
      <w:r w:rsidRPr="00B90F0C">
        <w:rPr>
          <w:lang w:val="en-US"/>
        </w:rPr>
        <w:t xml:space="preserve"> in terms of technical criteria, with the development of functional specifications seen as </w:t>
      </w:r>
      <w:r>
        <w:rPr>
          <w:lang w:val="en-US"/>
        </w:rPr>
        <w:t xml:space="preserve">an </w:t>
      </w:r>
      <w:r w:rsidRPr="00B90F0C">
        <w:rPr>
          <w:lang w:val="en-US"/>
        </w:rPr>
        <w:t>extra, rather than a specific requirement</w:t>
      </w:r>
      <w:r>
        <w:rPr>
          <w:lang w:val="en-US"/>
        </w:rPr>
        <w:t>.</w:t>
      </w:r>
      <w:r w:rsidRPr="00B90F0C">
        <w:rPr>
          <w:vertAlign w:val="superscript"/>
          <w:lang w:val="en-US"/>
        </w:rPr>
        <w:t xml:space="preserve">17 </w:t>
      </w:r>
      <w:r>
        <w:rPr>
          <w:lang w:val="en-US"/>
        </w:rPr>
        <w:t>This attitude can be</w:t>
      </w:r>
      <w:r w:rsidRPr="00B90F0C">
        <w:rPr>
          <w:lang w:val="en-US"/>
        </w:rPr>
        <w:t xml:space="preserve"> a barrier to developing packaging that meets the needs of the consumers.</w:t>
      </w:r>
    </w:p>
    <w:p w14:paraId="06F68D0D" w14:textId="77777777" w:rsidR="005B6EC4" w:rsidRDefault="001972EF" w:rsidP="001D669D">
      <w:pPr>
        <w:rPr>
          <w:lang w:val="en-US"/>
        </w:rPr>
      </w:pPr>
      <w:r w:rsidRPr="001972EF">
        <w:rPr>
          <w:lang w:val="en-US"/>
        </w:rPr>
        <w:t>A</w:t>
      </w:r>
      <w:r w:rsidR="001D669D" w:rsidRPr="001972EF">
        <w:rPr>
          <w:lang w:val="en-US"/>
        </w:rPr>
        <w:t xml:space="preserve">rthritis Australia </w:t>
      </w:r>
      <w:r w:rsidR="008A10B3">
        <w:rPr>
          <w:lang w:val="en-US"/>
        </w:rPr>
        <w:t>e</w:t>
      </w:r>
      <w:r w:rsidRPr="001972EF">
        <w:rPr>
          <w:lang w:val="en-US"/>
        </w:rPr>
        <w:t>stablished</w:t>
      </w:r>
      <w:r w:rsidR="008A10B3">
        <w:rPr>
          <w:lang w:val="en-US"/>
        </w:rPr>
        <w:t xml:space="preserve"> its</w:t>
      </w:r>
      <w:r w:rsidR="001D669D" w:rsidRPr="001972EF">
        <w:rPr>
          <w:lang w:val="en-US"/>
        </w:rPr>
        <w:t xml:space="preserve"> Accessible Design </w:t>
      </w:r>
      <w:r w:rsidRPr="001972EF">
        <w:rPr>
          <w:lang w:val="en-US"/>
        </w:rPr>
        <w:t>Division</w:t>
      </w:r>
      <w:r w:rsidR="008A10B3">
        <w:rPr>
          <w:lang w:val="en-US"/>
        </w:rPr>
        <w:t xml:space="preserve"> to advocate for and work with government and industry to improve the design </w:t>
      </w:r>
      <w:r w:rsidR="005B6EC4">
        <w:rPr>
          <w:lang w:val="en-US"/>
        </w:rPr>
        <w:t xml:space="preserve">and packaging </w:t>
      </w:r>
      <w:r w:rsidR="008A10B3">
        <w:rPr>
          <w:lang w:val="en-US"/>
        </w:rPr>
        <w:t xml:space="preserve">of products </w:t>
      </w:r>
      <w:r w:rsidR="005B6EC4">
        <w:rPr>
          <w:lang w:val="en-US"/>
        </w:rPr>
        <w:t xml:space="preserve">so that they are </w:t>
      </w:r>
      <w:r w:rsidR="005B6EC4" w:rsidRPr="005B6EC4">
        <w:rPr>
          <w:lang w:val="en-US"/>
        </w:rPr>
        <w:t>easier to use for people who have arthritis and other physical limitations.</w:t>
      </w:r>
      <w:r w:rsidR="005B6EC4">
        <w:rPr>
          <w:lang w:val="en-US"/>
        </w:rPr>
        <w:t xml:space="preserve"> The Division provides a testing and advi</w:t>
      </w:r>
      <w:r w:rsidR="003370F7">
        <w:rPr>
          <w:lang w:val="en-US"/>
        </w:rPr>
        <w:t>sory</w:t>
      </w:r>
      <w:r w:rsidR="005B6EC4">
        <w:rPr>
          <w:lang w:val="en-US"/>
        </w:rPr>
        <w:t xml:space="preserve"> service for companies wishing to improve the accessibility </w:t>
      </w:r>
      <w:r w:rsidR="003370F7">
        <w:rPr>
          <w:lang w:val="en-US"/>
        </w:rPr>
        <w:t xml:space="preserve">of their products and packaging.  The Division provides accessibility ratings for </w:t>
      </w:r>
      <w:proofErr w:type="gramStart"/>
      <w:r w:rsidR="003370F7">
        <w:rPr>
          <w:lang w:val="en-US"/>
        </w:rPr>
        <w:t>portion controlled</w:t>
      </w:r>
      <w:proofErr w:type="gramEnd"/>
      <w:r w:rsidR="003370F7">
        <w:rPr>
          <w:lang w:val="en-US"/>
        </w:rPr>
        <w:t xml:space="preserve"> </w:t>
      </w:r>
      <w:r w:rsidR="00BA4157">
        <w:rPr>
          <w:lang w:val="en-US"/>
        </w:rPr>
        <w:t xml:space="preserve">food </w:t>
      </w:r>
      <w:r w:rsidR="003370F7">
        <w:rPr>
          <w:lang w:val="en-US"/>
        </w:rPr>
        <w:t>items</w:t>
      </w:r>
      <w:r w:rsidR="00BA4157">
        <w:rPr>
          <w:lang w:val="en-US"/>
        </w:rPr>
        <w:t xml:space="preserve"> to assist </w:t>
      </w:r>
      <w:r w:rsidR="00BA4157" w:rsidRPr="00BA4157">
        <w:rPr>
          <w:lang w:val="en-US"/>
        </w:rPr>
        <w:t>food service managers involved in making purchasing decisions</w:t>
      </w:r>
      <w:r w:rsidR="00BA4157">
        <w:rPr>
          <w:lang w:val="en-US"/>
        </w:rPr>
        <w:t xml:space="preserve"> for products supplied in hospitals</w:t>
      </w:r>
      <w:r w:rsidR="003370F7">
        <w:rPr>
          <w:lang w:val="en-US"/>
        </w:rPr>
        <w:t xml:space="preserve"> </w:t>
      </w:r>
      <w:r w:rsidR="00BA4157" w:rsidRPr="00BA4157">
        <w:rPr>
          <w:lang w:val="en-US"/>
        </w:rPr>
        <w:t>across Australia’s health system</w:t>
      </w:r>
      <w:r w:rsidR="00BA4157">
        <w:rPr>
          <w:lang w:val="en-US"/>
        </w:rPr>
        <w:t xml:space="preserve">. </w:t>
      </w:r>
    </w:p>
    <w:p w14:paraId="3B8DCF50" w14:textId="77777777" w:rsidR="001D669D" w:rsidRPr="00E452E1" w:rsidRDefault="00E452E1" w:rsidP="001D669D">
      <w:pPr>
        <w:rPr>
          <w:lang w:val="en-US"/>
        </w:rPr>
      </w:pPr>
      <w:r w:rsidRPr="00E452E1">
        <w:rPr>
          <w:lang w:val="en-US"/>
        </w:rPr>
        <w:t xml:space="preserve">In 2019 Arthritis Australia and </w:t>
      </w:r>
      <w:r>
        <w:rPr>
          <w:lang w:val="en-US"/>
        </w:rPr>
        <w:t xml:space="preserve">ten </w:t>
      </w:r>
      <w:r w:rsidRPr="00E452E1">
        <w:rPr>
          <w:lang w:val="en-US"/>
        </w:rPr>
        <w:t xml:space="preserve">other not-for-profit consumer health organisations </w:t>
      </w:r>
      <w:r>
        <w:rPr>
          <w:lang w:val="en-US"/>
        </w:rPr>
        <w:t xml:space="preserve">representing consumers with chronic conditions associated with physical limitations, </w:t>
      </w:r>
      <w:r w:rsidRPr="00E452E1">
        <w:rPr>
          <w:lang w:val="en-US"/>
        </w:rPr>
        <w:t>formed the Accessible Product Design Alliance</w:t>
      </w:r>
      <w:r>
        <w:rPr>
          <w:lang w:val="en-US"/>
        </w:rPr>
        <w:t>.  T</w:t>
      </w:r>
      <w:r w:rsidR="001D669D" w:rsidRPr="00E452E1">
        <w:rPr>
          <w:lang w:val="en-US"/>
        </w:rPr>
        <w:t>he aim of the Alliance is to advocate to government and industry to improve access to products and packaging that are easy to use for these consumers and to increase research in the area.</w:t>
      </w:r>
      <w:r>
        <w:rPr>
          <w:lang w:val="en-US"/>
        </w:rPr>
        <w:t xml:space="preserve">  The objectives of the Alliance are:</w:t>
      </w:r>
    </w:p>
    <w:p w14:paraId="4A57149E" w14:textId="77777777" w:rsidR="00E452E1" w:rsidRPr="00E452E1" w:rsidRDefault="00E452E1" w:rsidP="00E452E1">
      <w:pPr>
        <w:pStyle w:val="ListParagraph"/>
        <w:numPr>
          <w:ilvl w:val="0"/>
          <w:numId w:val="11"/>
        </w:numPr>
        <w:spacing w:after="0" w:line="240" w:lineRule="auto"/>
        <w:rPr>
          <w:lang w:val="en-US"/>
        </w:rPr>
      </w:pPr>
      <w:r w:rsidRPr="00E452E1">
        <w:rPr>
          <w:lang w:val="en-US"/>
        </w:rPr>
        <w:t>To raise awareness of accessibility issues relating to product and packaging design for people with limited dexterity and mobility</w:t>
      </w:r>
    </w:p>
    <w:p w14:paraId="09BEC21A" w14:textId="77777777" w:rsidR="00E452E1" w:rsidRPr="00E452E1" w:rsidRDefault="00E452E1" w:rsidP="00E452E1">
      <w:pPr>
        <w:pStyle w:val="ListParagraph"/>
        <w:numPr>
          <w:ilvl w:val="0"/>
          <w:numId w:val="11"/>
        </w:numPr>
        <w:spacing w:after="0" w:line="240" w:lineRule="auto"/>
        <w:rPr>
          <w:lang w:val="en-US"/>
        </w:rPr>
      </w:pPr>
      <w:r w:rsidRPr="00E452E1">
        <w:rPr>
          <w:lang w:val="en-US"/>
        </w:rPr>
        <w:t xml:space="preserve">To support the development of more inclusive product and packaging designs </w:t>
      </w:r>
    </w:p>
    <w:p w14:paraId="7629049B" w14:textId="77777777" w:rsidR="00E452E1" w:rsidRPr="00E452E1" w:rsidRDefault="00E452E1" w:rsidP="00E452E1">
      <w:pPr>
        <w:pStyle w:val="ListParagraph"/>
        <w:numPr>
          <w:ilvl w:val="0"/>
          <w:numId w:val="11"/>
        </w:numPr>
        <w:spacing w:after="0" w:line="240" w:lineRule="auto"/>
        <w:rPr>
          <w:lang w:val="en-US"/>
        </w:rPr>
      </w:pPr>
      <w:r w:rsidRPr="00E452E1">
        <w:rPr>
          <w:lang w:val="en-US"/>
        </w:rPr>
        <w:t xml:space="preserve">To promote accessible product design principles to the government and industry, in both Australia and New Zealand and to advocate for whole-of-government, systemic changes to policy and standards that incorporate accessible design principles. </w:t>
      </w:r>
    </w:p>
    <w:p w14:paraId="1EA2B21C" w14:textId="77777777" w:rsidR="00E452E1" w:rsidRPr="00E452E1" w:rsidRDefault="00E452E1" w:rsidP="00E452E1">
      <w:pPr>
        <w:pStyle w:val="ListParagraph"/>
        <w:numPr>
          <w:ilvl w:val="0"/>
          <w:numId w:val="11"/>
        </w:numPr>
        <w:spacing w:after="0" w:line="240" w:lineRule="auto"/>
        <w:rPr>
          <w:lang w:val="en-US"/>
        </w:rPr>
      </w:pPr>
      <w:r w:rsidRPr="00E452E1">
        <w:rPr>
          <w:lang w:val="en-US"/>
        </w:rPr>
        <w:t>To support research into accessible product and packaging design.</w:t>
      </w:r>
    </w:p>
    <w:p w14:paraId="6297A321" w14:textId="77777777" w:rsidR="00E452E1" w:rsidRPr="00E452E1" w:rsidRDefault="00E452E1" w:rsidP="00E452E1">
      <w:pPr>
        <w:pStyle w:val="ListParagraph"/>
        <w:numPr>
          <w:ilvl w:val="0"/>
          <w:numId w:val="11"/>
        </w:numPr>
        <w:spacing w:after="0" w:line="240" w:lineRule="auto"/>
        <w:rPr>
          <w:lang w:val="en-US"/>
        </w:rPr>
      </w:pPr>
      <w:r w:rsidRPr="00E452E1">
        <w:rPr>
          <w:lang w:val="en-US"/>
        </w:rPr>
        <w:t>To work with Accessible Product Design Alliance member’s stakeholders to encourage wherever possible consideration of the accessibility needs of all members of the community regardless of their level of ability.</w:t>
      </w:r>
    </w:p>
    <w:p w14:paraId="6E5A0359" w14:textId="77777777" w:rsidR="00BA4157" w:rsidRPr="00E452E1" w:rsidRDefault="00BA4157" w:rsidP="006A1DA4">
      <w:pPr>
        <w:rPr>
          <w:lang w:val="en-US"/>
        </w:rPr>
      </w:pPr>
    </w:p>
    <w:sectPr w:rsidR="00BA4157" w:rsidRPr="00E452E1">
      <w:footerReference w:type="default" r:id="rI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6B8BB" w14:textId="77777777" w:rsidR="00D53E5B" w:rsidRDefault="00D53E5B" w:rsidP="006F41CA">
      <w:pPr>
        <w:spacing w:after="0" w:line="240" w:lineRule="auto"/>
      </w:pPr>
      <w:r>
        <w:separator/>
      </w:r>
    </w:p>
  </w:endnote>
  <w:endnote w:type="continuationSeparator" w:id="0">
    <w:p w14:paraId="63951ABE" w14:textId="77777777" w:rsidR="00D53E5B" w:rsidRDefault="00D53E5B" w:rsidP="006F41CA">
      <w:pPr>
        <w:spacing w:after="0" w:line="240" w:lineRule="auto"/>
      </w:pPr>
      <w:r>
        <w:continuationSeparator/>
      </w:r>
    </w:p>
  </w:endnote>
  <w:endnote w:id="1">
    <w:p w14:paraId="6B2BE307" w14:textId="77777777" w:rsidR="00AF6953" w:rsidRPr="00C9440B" w:rsidRDefault="00AF6953" w:rsidP="00AF6953">
      <w:pPr>
        <w:pStyle w:val="EndnoteText"/>
        <w:rPr>
          <w:lang w:val="en-US"/>
        </w:rPr>
      </w:pPr>
      <w:r>
        <w:rPr>
          <w:rStyle w:val="EndnoteReference"/>
        </w:rPr>
        <w:endnoteRef/>
      </w:r>
      <w:r>
        <w:t xml:space="preserve"> </w:t>
      </w:r>
      <w:r w:rsidRPr="00FA5DF2">
        <w:rPr>
          <w:iCs/>
        </w:rPr>
        <w:t>Catalyst Research ‘Packaging Survey Australia Malaysia New Zealand</w:t>
      </w:r>
      <w:r w:rsidRPr="00FA5DF2">
        <w:rPr>
          <w:iCs/>
          <w:lang w:val="en-US"/>
        </w:rPr>
        <w:t>’</w:t>
      </w:r>
      <w:r w:rsidRPr="00FA5DF2">
        <w:rPr>
          <w:iCs/>
        </w:rPr>
        <w:t xml:space="preserve"> (2013, DTI (1997a)</w:t>
      </w:r>
    </w:p>
  </w:endnote>
  <w:endnote w:id="2">
    <w:p w14:paraId="0DB16F38" w14:textId="77777777" w:rsidR="00AF6953" w:rsidRPr="00D709E2" w:rsidRDefault="00AF6953" w:rsidP="00D709E2">
      <w:pPr>
        <w:spacing w:after="0"/>
        <w:rPr>
          <w:iCs/>
          <w:sz w:val="20"/>
          <w:szCs w:val="20"/>
        </w:rPr>
      </w:pPr>
      <w:r>
        <w:rPr>
          <w:rStyle w:val="EndnoteReference"/>
        </w:rPr>
        <w:endnoteRef/>
      </w:r>
      <w:r>
        <w:t xml:space="preserve"> </w:t>
      </w:r>
      <w:r w:rsidRPr="00D709E2">
        <w:rPr>
          <w:iCs/>
          <w:sz w:val="20"/>
          <w:szCs w:val="20"/>
        </w:rPr>
        <w:t>Consumer Safety Research ‘Domestic Accidents Related to Packaging’ Vol. I. DTI, London and Browne, Kate (2014)</w:t>
      </w:r>
    </w:p>
  </w:endnote>
  <w:endnote w:id="3">
    <w:p w14:paraId="6B046B91" w14:textId="77777777" w:rsidR="004D6C3F" w:rsidRDefault="004D6C3F" w:rsidP="004D6C3F">
      <w:pPr>
        <w:pStyle w:val="EndnoteText"/>
      </w:pPr>
      <w:r>
        <w:rPr>
          <w:rStyle w:val="EndnoteReference"/>
        </w:rPr>
        <w:endnoteRef/>
      </w:r>
      <w:r>
        <w:t xml:space="preserve"> Australian Institute of Health and Welfare 2019. </w:t>
      </w:r>
      <w:r w:rsidRPr="00AE19DE">
        <w:rPr>
          <w:i/>
        </w:rPr>
        <w:t>People with disability in Australia 2019: in brief</w:t>
      </w:r>
      <w:r>
        <w:t>.</w:t>
      </w:r>
    </w:p>
    <w:p w14:paraId="239F8AAB" w14:textId="77777777" w:rsidR="004D6C3F" w:rsidRPr="00AE19DE" w:rsidRDefault="004D6C3F" w:rsidP="004D6C3F">
      <w:pPr>
        <w:pStyle w:val="EndnoteText"/>
        <w:rPr>
          <w:lang w:val="en-US"/>
        </w:rPr>
      </w:pPr>
      <w:r>
        <w:t>Cat. no. DIS 74. Canberra: AIHW.</w:t>
      </w:r>
    </w:p>
  </w:endnote>
  <w:endnote w:id="4">
    <w:p w14:paraId="3A9798AA" w14:textId="77777777" w:rsidR="008C5F67" w:rsidRPr="008C5F67" w:rsidRDefault="008C5F67">
      <w:pPr>
        <w:pStyle w:val="EndnoteText"/>
        <w:rPr>
          <w:lang w:val="en-US"/>
        </w:rPr>
      </w:pPr>
      <w:r>
        <w:rPr>
          <w:rStyle w:val="EndnoteReference"/>
        </w:rPr>
        <w:endnoteRef/>
      </w:r>
      <w:r>
        <w:t xml:space="preserve"> </w:t>
      </w:r>
      <w:hyperlink r:id="rId1" w:history="1">
        <w:r>
          <w:rPr>
            <w:rStyle w:val="Hyperlink"/>
          </w:rPr>
          <w:t>https://www.un.org/disabilities/documents/convention/convoptprot-e.pdf</w:t>
        </w:r>
      </w:hyperlink>
    </w:p>
  </w:endnote>
  <w:endnote w:id="5">
    <w:p w14:paraId="64C883BA" w14:textId="77777777" w:rsidR="008C5F67" w:rsidRPr="008C5F67" w:rsidRDefault="008C5F67">
      <w:pPr>
        <w:pStyle w:val="EndnoteText"/>
        <w:rPr>
          <w:lang w:val="en-US"/>
        </w:rPr>
      </w:pPr>
      <w:r>
        <w:rPr>
          <w:rStyle w:val="EndnoteReference"/>
        </w:rPr>
        <w:endnoteRef/>
      </w:r>
      <w:r>
        <w:t xml:space="preserve"> </w:t>
      </w:r>
      <w:hyperlink r:id="rId2" w:history="1">
        <w:r>
          <w:rPr>
            <w:rStyle w:val="Hyperlink"/>
          </w:rPr>
          <w:t>https://www.aihw.gov.au/reports-data/health-conditions-disability-deaths/chronic-disease/overview</w:t>
        </w:r>
      </w:hyperlink>
    </w:p>
  </w:endnote>
  <w:endnote w:id="6">
    <w:p w14:paraId="7B726BD4" w14:textId="77777777" w:rsidR="00B51146" w:rsidRPr="00B51146" w:rsidRDefault="00B51146">
      <w:pPr>
        <w:pStyle w:val="EndnoteText"/>
        <w:rPr>
          <w:lang w:val="en-US"/>
        </w:rPr>
      </w:pPr>
      <w:r>
        <w:rPr>
          <w:rStyle w:val="EndnoteReference"/>
        </w:rPr>
        <w:endnoteRef/>
      </w:r>
      <w:r>
        <w:t xml:space="preserve"> </w:t>
      </w:r>
      <w:hyperlink r:id="rId3" w:history="1">
        <w:r>
          <w:rPr>
            <w:rStyle w:val="Hyperlink"/>
          </w:rPr>
          <w:t>https://mdfa-s3fs-prod.s3-ap-southeast-2.amazonaws.com/s3fs-public/MDFA%20Low%20Vision%20Report%202017.pdf</w:t>
        </w:r>
      </w:hyperlink>
    </w:p>
  </w:endnote>
  <w:endnote w:id="7">
    <w:p w14:paraId="6F9FAE7B" w14:textId="77777777" w:rsidR="001539CF" w:rsidRPr="00112F3C" w:rsidRDefault="001539CF" w:rsidP="001539CF">
      <w:pPr>
        <w:pStyle w:val="EndnoteText"/>
        <w:rPr>
          <w:lang w:val="en-US"/>
        </w:rPr>
      </w:pPr>
      <w:r>
        <w:rPr>
          <w:rStyle w:val="EndnoteReference"/>
        </w:rPr>
        <w:endnoteRef/>
      </w:r>
      <w:r>
        <w:t xml:space="preserve"> </w:t>
      </w:r>
      <w:r>
        <w:rPr>
          <w:lang w:val="en-US"/>
        </w:rPr>
        <w:t>Accessible Product Design Alliance</w:t>
      </w:r>
    </w:p>
  </w:endnote>
  <w:endnote w:id="8">
    <w:p w14:paraId="5BF5984C" w14:textId="77777777" w:rsidR="00234C35" w:rsidRPr="00D709E2" w:rsidRDefault="00234C35" w:rsidP="005D5B3D">
      <w:pPr>
        <w:spacing w:after="0"/>
        <w:rPr>
          <w:iCs/>
          <w:sz w:val="20"/>
          <w:szCs w:val="20"/>
        </w:rPr>
      </w:pPr>
      <w:r>
        <w:rPr>
          <w:rStyle w:val="EndnoteReference"/>
        </w:rPr>
        <w:endnoteRef/>
      </w:r>
      <w:r>
        <w:t xml:space="preserve"> </w:t>
      </w:r>
      <w:r w:rsidRPr="00D709E2">
        <w:rPr>
          <w:iCs/>
          <w:sz w:val="20"/>
          <w:szCs w:val="20"/>
        </w:rPr>
        <w:t xml:space="preserve">Kelly, A., </w:t>
      </w:r>
      <w:proofErr w:type="spellStart"/>
      <w:r w:rsidRPr="00D709E2">
        <w:rPr>
          <w:iCs/>
          <w:sz w:val="20"/>
          <w:szCs w:val="20"/>
        </w:rPr>
        <w:t>Tymms</w:t>
      </w:r>
      <w:proofErr w:type="spellEnd"/>
      <w:r w:rsidRPr="00D709E2">
        <w:rPr>
          <w:iCs/>
          <w:sz w:val="20"/>
          <w:szCs w:val="20"/>
        </w:rPr>
        <w:t>, K., de Wit, M., Bartlett, S. J., Cross, M., Dawson, T., … Tong, A. (2019). Patient and caregiver priorities for medication adherence in gout, osteoporosis and rheumatoid arthritis: nominal group techn</w:t>
      </w:r>
      <w:bookmarkStart w:id="0" w:name="_GoBack"/>
      <w:bookmarkEnd w:id="0"/>
      <w:r w:rsidRPr="00D709E2">
        <w:rPr>
          <w:iCs/>
          <w:sz w:val="20"/>
          <w:szCs w:val="20"/>
        </w:rPr>
        <w:t>ique. Arthritis Care &amp; Research. oi:10.1002/acr.24032</w:t>
      </w:r>
    </w:p>
  </w:endnote>
  <w:endnote w:id="9">
    <w:p w14:paraId="77E07FEF" w14:textId="77777777" w:rsidR="00342B4B" w:rsidRPr="00342B4B" w:rsidRDefault="00342B4B">
      <w:pPr>
        <w:pStyle w:val="EndnoteText"/>
        <w:rPr>
          <w:lang w:val="en-US"/>
        </w:rPr>
      </w:pPr>
      <w:r>
        <w:rPr>
          <w:rStyle w:val="EndnoteReference"/>
        </w:rPr>
        <w:endnoteRef/>
      </w:r>
      <w:r>
        <w:t xml:space="preserve"> </w:t>
      </w:r>
      <w:hyperlink r:id="rId4" w:history="1">
        <w:r>
          <w:rPr>
            <w:rStyle w:val="Hyperlink"/>
          </w:rPr>
          <w:t>https://www.abs.gov.au/ausstats/abs@.nsf/PrimaryMainFeatures/3222.0?OpenDocument</w:t>
        </w:r>
      </w:hyperlink>
    </w:p>
  </w:endnote>
  <w:endnote w:id="10">
    <w:p w14:paraId="7A98FC57" w14:textId="77777777" w:rsidR="002A3C47" w:rsidRPr="00BB619D" w:rsidRDefault="002A3C47" w:rsidP="002A3C47">
      <w:pPr>
        <w:autoSpaceDE w:val="0"/>
        <w:autoSpaceDN w:val="0"/>
        <w:adjustRightInd w:val="0"/>
        <w:spacing w:after="0" w:line="240" w:lineRule="auto"/>
        <w:rPr>
          <w:rFonts w:cstheme="minorHAnsi"/>
          <w:sz w:val="20"/>
          <w:szCs w:val="20"/>
        </w:rPr>
      </w:pPr>
      <w:r>
        <w:rPr>
          <w:rStyle w:val="EndnoteReference"/>
        </w:rPr>
        <w:endnoteRef/>
      </w:r>
      <w:r>
        <w:t xml:space="preserve"> </w:t>
      </w:r>
      <w:r w:rsidRPr="00BB619D">
        <w:rPr>
          <w:rFonts w:cstheme="minorHAnsi"/>
          <w:sz w:val="20"/>
          <w:szCs w:val="20"/>
        </w:rPr>
        <w:t xml:space="preserve">Nicholas Ford, Paul </w:t>
      </w:r>
      <w:proofErr w:type="spellStart"/>
      <w:r w:rsidRPr="00BB619D">
        <w:rPr>
          <w:rFonts w:cstheme="minorHAnsi"/>
          <w:sz w:val="20"/>
          <w:szCs w:val="20"/>
        </w:rPr>
        <w:t>Trott</w:t>
      </w:r>
      <w:proofErr w:type="spellEnd"/>
      <w:r w:rsidRPr="00BB619D">
        <w:rPr>
          <w:rFonts w:cstheme="minorHAnsi"/>
          <w:sz w:val="20"/>
          <w:szCs w:val="20"/>
        </w:rPr>
        <w:t xml:space="preserve"> &amp; Christopher Simms (2016) Exploring the</w:t>
      </w:r>
    </w:p>
    <w:p w14:paraId="5A159402" w14:textId="77777777" w:rsidR="002A3C47" w:rsidRPr="00BB619D" w:rsidRDefault="002A3C47" w:rsidP="002A3C47">
      <w:pPr>
        <w:autoSpaceDE w:val="0"/>
        <w:autoSpaceDN w:val="0"/>
        <w:adjustRightInd w:val="0"/>
        <w:spacing w:after="0" w:line="240" w:lineRule="auto"/>
        <w:rPr>
          <w:rFonts w:cstheme="minorHAnsi"/>
          <w:sz w:val="20"/>
          <w:szCs w:val="20"/>
        </w:rPr>
      </w:pPr>
      <w:r w:rsidRPr="00BB619D">
        <w:rPr>
          <w:rFonts w:cstheme="minorHAnsi"/>
          <w:sz w:val="20"/>
          <w:szCs w:val="20"/>
        </w:rPr>
        <w:t>impact of packaging interactions on quality of life among older consumers, Journal of Marketing</w:t>
      </w:r>
    </w:p>
    <w:p w14:paraId="08DBFB0E" w14:textId="77777777" w:rsidR="002A3C47" w:rsidRPr="004E165A" w:rsidRDefault="002A3C47" w:rsidP="002A3C47">
      <w:pPr>
        <w:pStyle w:val="EndnoteText"/>
        <w:rPr>
          <w:lang w:val="en-US"/>
        </w:rPr>
      </w:pPr>
      <w:r w:rsidRPr="00BB619D">
        <w:rPr>
          <w:rFonts w:cstheme="minorHAnsi"/>
        </w:rPr>
        <w:t>Management, 32:3-4, 275-312,</w:t>
      </w:r>
    </w:p>
  </w:endnote>
  <w:endnote w:id="11">
    <w:p w14:paraId="7A3AF1E5" w14:textId="77777777" w:rsidR="00AB6FC8" w:rsidRPr="002A7B69" w:rsidRDefault="00AB6FC8" w:rsidP="00AB6FC8">
      <w:pPr>
        <w:pStyle w:val="EndnoteText"/>
        <w:rPr>
          <w:b/>
          <w:lang w:val="en-US"/>
        </w:rPr>
      </w:pPr>
      <w:r>
        <w:rPr>
          <w:rStyle w:val="EndnoteReference"/>
        </w:rPr>
        <w:endnoteRef/>
      </w:r>
      <w:hyperlink r:id="rId5" w:history="1">
        <w:r w:rsidRPr="00923F40">
          <w:rPr>
            <w:rStyle w:val="Hyperlink"/>
          </w:rPr>
          <w:t>https://www.abs.gov.au/ausstats/abs@.nsf/Lookup/by%20Subject/2071.0~2016~Main%20Features~Ageing%20Population~14</w:t>
        </w:r>
      </w:hyperlink>
    </w:p>
  </w:endnote>
  <w:endnote w:id="12">
    <w:p w14:paraId="425EC5AB" w14:textId="77777777" w:rsidR="00AB6FC8" w:rsidRPr="00723002" w:rsidRDefault="00AB6FC8" w:rsidP="00AB6FC8">
      <w:pPr>
        <w:pStyle w:val="EndnoteText"/>
        <w:rPr>
          <w:lang w:val="en-US"/>
        </w:rPr>
      </w:pPr>
      <w:r>
        <w:rPr>
          <w:rStyle w:val="EndnoteReference"/>
        </w:rPr>
        <w:endnoteRef/>
      </w:r>
      <w:r>
        <w:t xml:space="preserve"> </w:t>
      </w:r>
      <w:hyperlink r:id="rId6" w:history="1">
        <w:r>
          <w:rPr>
            <w:rStyle w:val="Hyperlink"/>
          </w:rPr>
          <w:t>https://www.dpc.nsw.gov.au/publications/special-commissions-of-inquiry/special-commission-of-inquiry-into-acute-care-services-in-new-south-wales-public-hospitals/</w:t>
        </w:r>
      </w:hyperlink>
    </w:p>
  </w:endnote>
  <w:endnote w:id="13">
    <w:p w14:paraId="48D2051E" w14:textId="77777777" w:rsidR="00EB1E23" w:rsidRPr="00EB1E23" w:rsidRDefault="00EB1E23">
      <w:pPr>
        <w:pStyle w:val="EndnoteText"/>
        <w:rPr>
          <w:lang w:val="en-US"/>
        </w:rPr>
      </w:pPr>
      <w:r>
        <w:rPr>
          <w:rStyle w:val="EndnoteReference"/>
        </w:rPr>
        <w:endnoteRef/>
      </w:r>
      <w:r>
        <w:t xml:space="preserve"> </w:t>
      </w:r>
      <w:r w:rsidRPr="00EB1E23">
        <w:t>Emblem, A. (2012). Packaging technology: Fundamentals, materials and processes. Cambridge: Woodhead Publishing in Materials.</w:t>
      </w:r>
    </w:p>
  </w:endnote>
  <w:endnote w:id="14">
    <w:p w14:paraId="3C1B1B21" w14:textId="77777777" w:rsidR="001539CF" w:rsidRPr="004247DC" w:rsidRDefault="001539CF" w:rsidP="001539CF">
      <w:pPr>
        <w:pStyle w:val="EndnoteText"/>
        <w:rPr>
          <w:lang w:val="en-US"/>
        </w:rPr>
      </w:pPr>
      <w:r>
        <w:rPr>
          <w:rStyle w:val="EndnoteReference"/>
        </w:rPr>
        <w:endnoteRef/>
      </w:r>
      <w:r>
        <w:t xml:space="preserve"> </w:t>
      </w:r>
      <w:r>
        <w:rPr>
          <w:noProof/>
        </w:rPr>
        <w:t xml:space="preserve">Caner, C., &amp; Pascall, M. A. (2010). Consumer Complaints and Accidents Related to Food Packaging. </w:t>
      </w:r>
      <w:r>
        <w:rPr>
          <w:i/>
          <w:iCs/>
          <w:noProof/>
        </w:rPr>
        <w:t>Packaging Technology and Science 23(7):413</w:t>
      </w:r>
    </w:p>
  </w:endnote>
  <w:endnote w:id="15">
    <w:p w14:paraId="76EC828C" w14:textId="77777777" w:rsidR="00234C35" w:rsidRPr="00754184" w:rsidRDefault="00234C35" w:rsidP="00234C35">
      <w:pPr>
        <w:pStyle w:val="EndnoteText"/>
        <w:rPr>
          <w:lang w:val="en-US"/>
        </w:rPr>
      </w:pPr>
      <w:r>
        <w:rPr>
          <w:rStyle w:val="EndnoteReference"/>
        </w:rPr>
        <w:endnoteRef/>
      </w:r>
      <w:r>
        <w:t xml:space="preserve"> A </w:t>
      </w:r>
      <w:proofErr w:type="spellStart"/>
      <w:r>
        <w:t>Brayshaw</w:t>
      </w:r>
      <w:proofErr w:type="spellEnd"/>
      <w:r>
        <w:t xml:space="preserve"> 2019 </w:t>
      </w:r>
      <w:r w:rsidRPr="00E5483C">
        <w:rPr>
          <w:i/>
          <w:iCs/>
        </w:rPr>
        <w:t>How accessible is food &amp; drink packaging? Industry Perception VS Consumer Reality</w:t>
      </w:r>
      <w:r>
        <w:rPr>
          <w:i/>
          <w:iCs/>
        </w:rPr>
        <w:t xml:space="preserve">. </w:t>
      </w:r>
      <w:hyperlink r:id="rId7" w:history="1">
        <w:r>
          <w:rPr>
            <w:rStyle w:val="Hyperlink"/>
          </w:rPr>
          <w:t>https://arthritisaustralia.com.au/accessible-design-division/resources-for-industry/guidelines-research/how-accessible-is-food-drink-packaging-industry-perception-vs-consumer-reality/</w:t>
        </w:r>
      </w:hyperlink>
    </w:p>
  </w:endnote>
  <w:endnote w:id="16">
    <w:p w14:paraId="6A593296" w14:textId="77777777" w:rsidR="001539CF" w:rsidRPr="001539CF" w:rsidRDefault="001539CF">
      <w:pPr>
        <w:pStyle w:val="EndnoteText"/>
        <w:rPr>
          <w:lang w:val="en-US"/>
        </w:rPr>
      </w:pPr>
      <w:r>
        <w:rPr>
          <w:rStyle w:val="EndnoteReference"/>
        </w:rPr>
        <w:endnoteRef/>
      </w:r>
      <w:r>
        <w:t xml:space="preserve"> </w:t>
      </w:r>
      <w:r w:rsidRPr="001539CF">
        <w:t xml:space="preserve">Magdalen Galley, E. E. (2005). Packaging: a box of delights or a can of worms? The contribution of ergonomics to the usability, safety and semantics of packaging. </w:t>
      </w:r>
      <w:proofErr w:type="spellStart"/>
      <w:r w:rsidRPr="001539CF">
        <w:t>FaraPack</w:t>
      </w:r>
      <w:proofErr w:type="spellEnd"/>
      <w:r w:rsidRPr="001539CF">
        <w:t xml:space="preserve"> Briefing </w:t>
      </w:r>
      <w:proofErr w:type="gramStart"/>
      <w:r w:rsidRPr="001539CF">
        <w:t>2005 :</w:t>
      </w:r>
      <w:proofErr w:type="gramEnd"/>
      <w:r w:rsidRPr="001539CF">
        <w:t xml:space="preserve"> New Technologies for Innovative Packaging, 12-13 October .</w:t>
      </w:r>
    </w:p>
  </w:endnote>
  <w:endnote w:id="17">
    <w:p w14:paraId="7AF69CE6" w14:textId="77777777" w:rsidR="00E44C7D" w:rsidRPr="00E44C7D" w:rsidRDefault="00E44C7D">
      <w:pPr>
        <w:pStyle w:val="EndnoteText"/>
        <w:rPr>
          <w:lang w:val="en-US"/>
        </w:rPr>
      </w:pPr>
      <w:r>
        <w:rPr>
          <w:rStyle w:val="EndnoteReference"/>
        </w:rPr>
        <w:endnoteRef/>
      </w:r>
      <w:r>
        <w:t xml:space="preserve"> </w:t>
      </w:r>
      <w:proofErr w:type="spellStart"/>
      <w:r w:rsidRPr="00E44C7D">
        <w:t>Ryynänen</w:t>
      </w:r>
      <w:proofErr w:type="spellEnd"/>
      <w:r w:rsidRPr="00E44C7D">
        <w:t xml:space="preserve">, T., &amp; </w:t>
      </w:r>
      <w:proofErr w:type="spellStart"/>
      <w:r w:rsidRPr="00E44C7D">
        <w:t>Rusko</w:t>
      </w:r>
      <w:proofErr w:type="spellEnd"/>
      <w:r w:rsidRPr="00E44C7D">
        <w:t>, E. (2014). Professionals' View of Consumers' Packa</w:t>
      </w:r>
      <w:r>
        <w:t xml:space="preserve">ging Interactions – A Narrative </w:t>
      </w:r>
      <w:r w:rsidRPr="00E44C7D">
        <w:t xml:space="preserve">Analysis. Wiley Online </w:t>
      </w:r>
      <w:proofErr w:type="gramStart"/>
      <w:r w:rsidRPr="00E44C7D">
        <w:t>Library ,</w:t>
      </w:r>
      <w:proofErr w:type="gramEnd"/>
      <w:r w:rsidRPr="00E44C7D">
        <w:t xml:space="preserve"> https://doi.org/10.1002/pts.2107</w:t>
      </w:r>
    </w:p>
  </w:endnote>
  <w:endnote w:id="18">
    <w:p w14:paraId="61EE1FC9" w14:textId="77777777" w:rsidR="00E44C7D" w:rsidRPr="00E44C7D" w:rsidRDefault="00E44C7D">
      <w:pPr>
        <w:pStyle w:val="EndnoteText"/>
        <w:rPr>
          <w:lang w:val="en-US"/>
        </w:rPr>
      </w:pPr>
      <w:r>
        <w:rPr>
          <w:rStyle w:val="EndnoteReference"/>
        </w:rPr>
        <w:endnoteRef/>
      </w:r>
      <w:r>
        <w:t xml:space="preserve"> </w:t>
      </w:r>
      <w:r w:rsidRPr="00E44C7D">
        <w:t>Sudbury-Riley, L. (2014). Unwrapping senior consumers’ packaging experiences. Market</w:t>
      </w:r>
      <w:r>
        <w:t xml:space="preserve">ing Intelligence &amp; </w:t>
      </w:r>
      <w:r w:rsidRPr="00E44C7D">
        <w:t>Planning</w:t>
      </w:r>
      <w:proofErr w:type="gramStart"/>
      <w:r w:rsidRPr="00E44C7D">
        <w:t>, ,</w:t>
      </w:r>
      <w:proofErr w:type="gramEnd"/>
      <w:r w:rsidRPr="00E44C7D">
        <w:t xml:space="preserve"> Vol. 32 Issue: 6, pp.666-686, https://doi.org/10.1108/MIP-02-2013-0027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8307859"/>
      <w:docPartObj>
        <w:docPartGallery w:val="Page Numbers (Bottom of Page)"/>
        <w:docPartUnique/>
      </w:docPartObj>
    </w:sdtPr>
    <w:sdtEndPr>
      <w:rPr>
        <w:noProof/>
      </w:rPr>
    </w:sdtEndPr>
    <w:sdtContent>
      <w:p w14:paraId="628435A7" w14:textId="77777777" w:rsidR="00723002" w:rsidRDefault="00723002">
        <w:pPr>
          <w:pStyle w:val="Footer"/>
          <w:jc w:val="center"/>
        </w:pPr>
        <w:r>
          <w:fldChar w:fldCharType="begin"/>
        </w:r>
        <w:r>
          <w:instrText xml:space="preserve"> PAGE   \* MERGEFORMAT </w:instrText>
        </w:r>
        <w:r>
          <w:fldChar w:fldCharType="separate"/>
        </w:r>
        <w:r w:rsidR="006B3E6C">
          <w:rPr>
            <w:noProof/>
          </w:rPr>
          <w:t>3</w:t>
        </w:r>
        <w:r>
          <w:rPr>
            <w:noProof/>
          </w:rPr>
          <w:fldChar w:fldCharType="end"/>
        </w:r>
      </w:p>
    </w:sdtContent>
  </w:sdt>
  <w:p w14:paraId="050B3F08" w14:textId="77777777" w:rsidR="00723002" w:rsidRDefault="0072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2D080" w14:textId="77777777" w:rsidR="00D53E5B" w:rsidRDefault="00D53E5B" w:rsidP="006F41CA">
      <w:pPr>
        <w:spacing w:after="0" w:line="240" w:lineRule="auto"/>
      </w:pPr>
      <w:r>
        <w:separator/>
      </w:r>
    </w:p>
  </w:footnote>
  <w:footnote w:type="continuationSeparator" w:id="0">
    <w:p w14:paraId="294F632B" w14:textId="77777777" w:rsidR="00D53E5B" w:rsidRDefault="00D53E5B" w:rsidP="006F41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73B10"/>
    <w:multiLevelType w:val="hybridMultilevel"/>
    <w:tmpl w:val="96662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474106"/>
    <w:multiLevelType w:val="hybridMultilevel"/>
    <w:tmpl w:val="A8380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CB1964"/>
    <w:multiLevelType w:val="hybridMultilevel"/>
    <w:tmpl w:val="9FDA0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7F2C86"/>
    <w:multiLevelType w:val="hybridMultilevel"/>
    <w:tmpl w:val="A7366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13786A"/>
    <w:multiLevelType w:val="hybridMultilevel"/>
    <w:tmpl w:val="AFF4A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8749ED"/>
    <w:multiLevelType w:val="hybridMultilevel"/>
    <w:tmpl w:val="9D5C3C76"/>
    <w:lvl w:ilvl="0" w:tplc="F87EBCCC">
      <w:start w:val="1"/>
      <w:numFmt w:val="bullet"/>
      <w:lvlText w:val="•"/>
      <w:lvlJc w:val="left"/>
      <w:pPr>
        <w:tabs>
          <w:tab w:val="num" w:pos="720"/>
        </w:tabs>
        <w:ind w:left="720" w:hanging="360"/>
      </w:pPr>
      <w:rPr>
        <w:rFonts w:ascii="Arial" w:hAnsi="Arial" w:hint="default"/>
      </w:rPr>
    </w:lvl>
    <w:lvl w:ilvl="1" w:tplc="53EE3B70" w:tentative="1">
      <w:start w:val="1"/>
      <w:numFmt w:val="bullet"/>
      <w:lvlText w:val="•"/>
      <w:lvlJc w:val="left"/>
      <w:pPr>
        <w:tabs>
          <w:tab w:val="num" w:pos="1440"/>
        </w:tabs>
        <w:ind w:left="1440" w:hanging="360"/>
      </w:pPr>
      <w:rPr>
        <w:rFonts w:ascii="Arial" w:hAnsi="Arial" w:hint="default"/>
      </w:rPr>
    </w:lvl>
    <w:lvl w:ilvl="2" w:tplc="A5A4FD9C" w:tentative="1">
      <w:start w:val="1"/>
      <w:numFmt w:val="bullet"/>
      <w:lvlText w:val="•"/>
      <w:lvlJc w:val="left"/>
      <w:pPr>
        <w:tabs>
          <w:tab w:val="num" w:pos="2160"/>
        </w:tabs>
        <w:ind w:left="2160" w:hanging="360"/>
      </w:pPr>
      <w:rPr>
        <w:rFonts w:ascii="Arial" w:hAnsi="Arial" w:hint="default"/>
      </w:rPr>
    </w:lvl>
    <w:lvl w:ilvl="3" w:tplc="DD1AED96" w:tentative="1">
      <w:start w:val="1"/>
      <w:numFmt w:val="bullet"/>
      <w:lvlText w:val="•"/>
      <w:lvlJc w:val="left"/>
      <w:pPr>
        <w:tabs>
          <w:tab w:val="num" w:pos="2880"/>
        </w:tabs>
        <w:ind w:left="2880" w:hanging="360"/>
      </w:pPr>
      <w:rPr>
        <w:rFonts w:ascii="Arial" w:hAnsi="Arial" w:hint="default"/>
      </w:rPr>
    </w:lvl>
    <w:lvl w:ilvl="4" w:tplc="52F01158" w:tentative="1">
      <w:start w:val="1"/>
      <w:numFmt w:val="bullet"/>
      <w:lvlText w:val="•"/>
      <w:lvlJc w:val="left"/>
      <w:pPr>
        <w:tabs>
          <w:tab w:val="num" w:pos="3600"/>
        </w:tabs>
        <w:ind w:left="3600" w:hanging="360"/>
      </w:pPr>
      <w:rPr>
        <w:rFonts w:ascii="Arial" w:hAnsi="Arial" w:hint="default"/>
      </w:rPr>
    </w:lvl>
    <w:lvl w:ilvl="5" w:tplc="E208DAA0" w:tentative="1">
      <w:start w:val="1"/>
      <w:numFmt w:val="bullet"/>
      <w:lvlText w:val="•"/>
      <w:lvlJc w:val="left"/>
      <w:pPr>
        <w:tabs>
          <w:tab w:val="num" w:pos="4320"/>
        </w:tabs>
        <w:ind w:left="4320" w:hanging="360"/>
      </w:pPr>
      <w:rPr>
        <w:rFonts w:ascii="Arial" w:hAnsi="Arial" w:hint="default"/>
      </w:rPr>
    </w:lvl>
    <w:lvl w:ilvl="6" w:tplc="B914AD40" w:tentative="1">
      <w:start w:val="1"/>
      <w:numFmt w:val="bullet"/>
      <w:lvlText w:val="•"/>
      <w:lvlJc w:val="left"/>
      <w:pPr>
        <w:tabs>
          <w:tab w:val="num" w:pos="5040"/>
        </w:tabs>
        <w:ind w:left="5040" w:hanging="360"/>
      </w:pPr>
      <w:rPr>
        <w:rFonts w:ascii="Arial" w:hAnsi="Arial" w:hint="default"/>
      </w:rPr>
    </w:lvl>
    <w:lvl w:ilvl="7" w:tplc="F0A8DBA8" w:tentative="1">
      <w:start w:val="1"/>
      <w:numFmt w:val="bullet"/>
      <w:lvlText w:val="•"/>
      <w:lvlJc w:val="left"/>
      <w:pPr>
        <w:tabs>
          <w:tab w:val="num" w:pos="5760"/>
        </w:tabs>
        <w:ind w:left="5760" w:hanging="360"/>
      </w:pPr>
      <w:rPr>
        <w:rFonts w:ascii="Arial" w:hAnsi="Arial" w:hint="default"/>
      </w:rPr>
    </w:lvl>
    <w:lvl w:ilvl="8" w:tplc="3852076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64D2E39"/>
    <w:multiLevelType w:val="hybridMultilevel"/>
    <w:tmpl w:val="E8165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EB7026F"/>
    <w:multiLevelType w:val="hybridMultilevel"/>
    <w:tmpl w:val="3B8E0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F1C1DD8"/>
    <w:multiLevelType w:val="hybridMultilevel"/>
    <w:tmpl w:val="4224EC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8905303"/>
    <w:multiLevelType w:val="hybridMultilevel"/>
    <w:tmpl w:val="BCB87D68"/>
    <w:lvl w:ilvl="0" w:tplc="5FDE4980">
      <w:start w:val="1"/>
      <w:numFmt w:val="bullet"/>
      <w:lvlText w:val="•"/>
      <w:lvlJc w:val="left"/>
      <w:pPr>
        <w:tabs>
          <w:tab w:val="num" w:pos="720"/>
        </w:tabs>
        <w:ind w:left="720" w:hanging="360"/>
      </w:pPr>
      <w:rPr>
        <w:rFonts w:ascii="Arial" w:hAnsi="Arial" w:hint="default"/>
      </w:rPr>
    </w:lvl>
    <w:lvl w:ilvl="1" w:tplc="48288B70" w:tentative="1">
      <w:start w:val="1"/>
      <w:numFmt w:val="bullet"/>
      <w:lvlText w:val="•"/>
      <w:lvlJc w:val="left"/>
      <w:pPr>
        <w:tabs>
          <w:tab w:val="num" w:pos="1440"/>
        </w:tabs>
        <w:ind w:left="1440" w:hanging="360"/>
      </w:pPr>
      <w:rPr>
        <w:rFonts w:ascii="Arial" w:hAnsi="Arial" w:hint="default"/>
      </w:rPr>
    </w:lvl>
    <w:lvl w:ilvl="2" w:tplc="E47A9E5C" w:tentative="1">
      <w:start w:val="1"/>
      <w:numFmt w:val="bullet"/>
      <w:lvlText w:val="•"/>
      <w:lvlJc w:val="left"/>
      <w:pPr>
        <w:tabs>
          <w:tab w:val="num" w:pos="2160"/>
        </w:tabs>
        <w:ind w:left="2160" w:hanging="360"/>
      </w:pPr>
      <w:rPr>
        <w:rFonts w:ascii="Arial" w:hAnsi="Arial" w:hint="default"/>
      </w:rPr>
    </w:lvl>
    <w:lvl w:ilvl="3" w:tplc="99164938" w:tentative="1">
      <w:start w:val="1"/>
      <w:numFmt w:val="bullet"/>
      <w:lvlText w:val="•"/>
      <w:lvlJc w:val="left"/>
      <w:pPr>
        <w:tabs>
          <w:tab w:val="num" w:pos="2880"/>
        </w:tabs>
        <w:ind w:left="2880" w:hanging="360"/>
      </w:pPr>
      <w:rPr>
        <w:rFonts w:ascii="Arial" w:hAnsi="Arial" w:hint="default"/>
      </w:rPr>
    </w:lvl>
    <w:lvl w:ilvl="4" w:tplc="65BAFA22" w:tentative="1">
      <w:start w:val="1"/>
      <w:numFmt w:val="bullet"/>
      <w:lvlText w:val="•"/>
      <w:lvlJc w:val="left"/>
      <w:pPr>
        <w:tabs>
          <w:tab w:val="num" w:pos="3600"/>
        </w:tabs>
        <w:ind w:left="3600" w:hanging="360"/>
      </w:pPr>
      <w:rPr>
        <w:rFonts w:ascii="Arial" w:hAnsi="Arial" w:hint="default"/>
      </w:rPr>
    </w:lvl>
    <w:lvl w:ilvl="5" w:tplc="78C6BCC2" w:tentative="1">
      <w:start w:val="1"/>
      <w:numFmt w:val="bullet"/>
      <w:lvlText w:val="•"/>
      <w:lvlJc w:val="left"/>
      <w:pPr>
        <w:tabs>
          <w:tab w:val="num" w:pos="4320"/>
        </w:tabs>
        <w:ind w:left="4320" w:hanging="360"/>
      </w:pPr>
      <w:rPr>
        <w:rFonts w:ascii="Arial" w:hAnsi="Arial" w:hint="default"/>
      </w:rPr>
    </w:lvl>
    <w:lvl w:ilvl="6" w:tplc="F35000DA" w:tentative="1">
      <w:start w:val="1"/>
      <w:numFmt w:val="bullet"/>
      <w:lvlText w:val="•"/>
      <w:lvlJc w:val="left"/>
      <w:pPr>
        <w:tabs>
          <w:tab w:val="num" w:pos="5040"/>
        </w:tabs>
        <w:ind w:left="5040" w:hanging="360"/>
      </w:pPr>
      <w:rPr>
        <w:rFonts w:ascii="Arial" w:hAnsi="Arial" w:hint="default"/>
      </w:rPr>
    </w:lvl>
    <w:lvl w:ilvl="7" w:tplc="1DCEDE94" w:tentative="1">
      <w:start w:val="1"/>
      <w:numFmt w:val="bullet"/>
      <w:lvlText w:val="•"/>
      <w:lvlJc w:val="left"/>
      <w:pPr>
        <w:tabs>
          <w:tab w:val="num" w:pos="5760"/>
        </w:tabs>
        <w:ind w:left="5760" w:hanging="360"/>
      </w:pPr>
      <w:rPr>
        <w:rFonts w:ascii="Arial" w:hAnsi="Arial" w:hint="default"/>
      </w:rPr>
    </w:lvl>
    <w:lvl w:ilvl="8" w:tplc="82B0175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A8A2F1B"/>
    <w:multiLevelType w:val="hybridMultilevel"/>
    <w:tmpl w:val="468E037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3080377"/>
    <w:multiLevelType w:val="hybridMultilevel"/>
    <w:tmpl w:val="39F61F80"/>
    <w:lvl w:ilvl="0" w:tplc="E1367298">
      <w:start w:val="1"/>
      <w:numFmt w:val="bullet"/>
      <w:lvlText w:val="•"/>
      <w:lvlJc w:val="left"/>
      <w:pPr>
        <w:tabs>
          <w:tab w:val="num" w:pos="720"/>
        </w:tabs>
        <w:ind w:left="720" w:hanging="360"/>
      </w:pPr>
      <w:rPr>
        <w:rFonts w:ascii="Arial" w:hAnsi="Arial" w:hint="default"/>
      </w:rPr>
    </w:lvl>
    <w:lvl w:ilvl="1" w:tplc="907C795C">
      <w:start w:val="86"/>
      <w:numFmt w:val="bullet"/>
      <w:lvlText w:val="–"/>
      <w:lvlJc w:val="left"/>
      <w:pPr>
        <w:tabs>
          <w:tab w:val="num" w:pos="1440"/>
        </w:tabs>
        <w:ind w:left="1440" w:hanging="360"/>
      </w:pPr>
      <w:rPr>
        <w:rFonts w:ascii="Arial" w:hAnsi="Arial" w:hint="default"/>
      </w:rPr>
    </w:lvl>
    <w:lvl w:ilvl="2" w:tplc="2C1467E0" w:tentative="1">
      <w:start w:val="1"/>
      <w:numFmt w:val="bullet"/>
      <w:lvlText w:val="•"/>
      <w:lvlJc w:val="left"/>
      <w:pPr>
        <w:tabs>
          <w:tab w:val="num" w:pos="2160"/>
        </w:tabs>
        <w:ind w:left="2160" w:hanging="360"/>
      </w:pPr>
      <w:rPr>
        <w:rFonts w:ascii="Arial" w:hAnsi="Arial" w:hint="default"/>
      </w:rPr>
    </w:lvl>
    <w:lvl w:ilvl="3" w:tplc="85A0E8A2" w:tentative="1">
      <w:start w:val="1"/>
      <w:numFmt w:val="bullet"/>
      <w:lvlText w:val="•"/>
      <w:lvlJc w:val="left"/>
      <w:pPr>
        <w:tabs>
          <w:tab w:val="num" w:pos="2880"/>
        </w:tabs>
        <w:ind w:left="2880" w:hanging="360"/>
      </w:pPr>
      <w:rPr>
        <w:rFonts w:ascii="Arial" w:hAnsi="Arial" w:hint="default"/>
      </w:rPr>
    </w:lvl>
    <w:lvl w:ilvl="4" w:tplc="39721ADA" w:tentative="1">
      <w:start w:val="1"/>
      <w:numFmt w:val="bullet"/>
      <w:lvlText w:val="•"/>
      <w:lvlJc w:val="left"/>
      <w:pPr>
        <w:tabs>
          <w:tab w:val="num" w:pos="3600"/>
        </w:tabs>
        <w:ind w:left="3600" w:hanging="360"/>
      </w:pPr>
      <w:rPr>
        <w:rFonts w:ascii="Arial" w:hAnsi="Arial" w:hint="default"/>
      </w:rPr>
    </w:lvl>
    <w:lvl w:ilvl="5" w:tplc="762A98C2" w:tentative="1">
      <w:start w:val="1"/>
      <w:numFmt w:val="bullet"/>
      <w:lvlText w:val="•"/>
      <w:lvlJc w:val="left"/>
      <w:pPr>
        <w:tabs>
          <w:tab w:val="num" w:pos="4320"/>
        </w:tabs>
        <w:ind w:left="4320" w:hanging="360"/>
      </w:pPr>
      <w:rPr>
        <w:rFonts w:ascii="Arial" w:hAnsi="Arial" w:hint="default"/>
      </w:rPr>
    </w:lvl>
    <w:lvl w:ilvl="6" w:tplc="D3641B96" w:tentative="1">
      <w:start w:val="1"/>
      <w:numFmt w:val="bullet"/>
      <w:lvlText w:val="•"/>
      <w:lvlJc w:val="left"/>
      <w:pPr>
        <w:tabs>
          <w:tab w:val="num" w:pos="5040"/>
        </w:tabs>
        <w:ind w:left="5040" w:hanging="360"/>
      </w:pPr>
      <w:rPr>
        <w:rFonts w:ascii="Arial" w:hAnsi="Arial" w:hint="default"/>
      </w:rPr>
    </w:lvl>
    <w:lvl w:ilvl="7" w:tplc="8EE0C07C" w:tentative="1">
      <w:start w:val="1"/>
      <w:numFmt w:val="bullet"/>
      <w:lvlText w:val="•"/>
      <w:lvlJc w:val="left"/>
      <w:pPr>
        <w:tabs>
          <w:tab w:val="num" w:pos="5760"/>
        </w:tabs>
        <w:ind w:left="5760" w:hanging="360"/>
      </w:pPr>
      <w:rPr>
        <w:rFonts w:ascii="Arial" w:hAnsi="Arial" w:hint="default"/>
      </w:rPr>
    </w:lvl>
    <w:lvl w:ilvl="8" w:tplc="0E9E28D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9"/>
  </w:num>
  <w:num w:numId="3">
    <w:abstractNumId w:val="5"/>
  </w:num>
  <w:num w:numId="4">
    <w:abstractNumId w:val="11"/>
  </w:num>
  <w:num w:numId="5">
    <w:abstractNumId w:val="4"/>
  </w:num>
  <w:num w:numId="6">
    <w:abstractNumId w:val="2"/>
  </w:num>
  <w:num w:numId="7">
    <w:abstractNumId w:val="10"/>
  </w:num>
  <w:num w:numId="8">
    <w:abstractNumId w:val="7"/>
  </w:num>
  <w:num w:numId="9">
    <w:abstractNumId w:val="3"/>
  </w:num>
  <w:num w:numId="10">
    <w:abstractNumId w:val="1"/>
  </w:num>
  <w:num w:numId="11">
    <w:abstractNumId w:val="8"/>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C1E"/>
    <w:rsid w:val="00022782"/>
    <w:rsid w:val="00060A51"/>
    <w:rsid w:val="000A36E6"/>
    <w:rsid w:val="000F5751"/>
    <w:rsid w:val="000F7A62"/>
    <w:rsid w:val="00112F3C"/>
    <w:rsid w:val="0011340D"/>
    <w:rsid w:val="00125E9E"/>
    <w:rsid w:val="00146075"/>
    <w:rsid w:val="001539CF"/>
    <w:rsid w:val="00174C93"/>
    <w:rsid w:val="001972EF"/>
    <w:rsid w:val="001A0E58"/>
    <w:rsid w:val="001C47BE"/>
    <w:rsid w:val="001C529A"/>
    <w:rsid w:val="001D669D"/>
    <w:rsid w:val="001E2E4E"/>
    <w:rsid w:val="001F65CC"/>
    <w:rsid w:val="00214FD9"/>
    <w:rsid w:val="00234C35"/>
    <w:rsid w:val="00243E80"/>
    <w:rsid w:val="00274B0D"/>
    <w:rsid w:val="002A3C47"/>
    <w:rsid w:val="002A4DB5"/>
    <w:rsid w:val="002A7B69"/>
    <w:rsid w:val="002C4BAF"/>
    <w:rsid w:val="002D2537"/>
    <w:rsid w:val="003111EF"/>
    <w:rsid w:val="00315147"/>
    <w:rsid w:val="003370F7"/>
    <w:rsid w:val="00342B4B"/>
    <w:rsid w:val="003A60A6"/>
    <w:rsid w:val="003C1872"/>
    <w:rsid w:val="003D52B6"/>
    <w:rsid w:val="0041237B"/>
    <w:rsid w:val="004247DC"/>
    <w:rsid w:val="004661FC"/>
    <w:rsid w:val="00473971"/>
    <w:rsid w:val="00475928"/>
    <w:rsid w:val="00493113"/>
    <w:rsid w:val="004D6C3F"/>
    <w:rsid w:val="004D742A"/>
    <w:rsid w:val="004E165A"/>
    <w:rsid w:val="005042DC"/>
    <w:rsid w:val="00513AC2"/>
    <w:rsid w:val="0053483A"/>
    <w:rsid w:val="00540992"/>
    <w:rsid w:val="005532C4"/>
    <w:rsid w:val="00556056"/>
    <w:rsid w:val="005B6EC4"/>
    <w:rsid w:val="005D5B3D"/>
    <w:rsid w:val="00621571"/>
    <w:rsid w:val="00624F83"/>
    <w:rsid w:val="00632D66"/>
    <w:rsid w:val="00646F7A"/>
    <w:rsid w:val="00653A45"/>
    <w:rsid w:val="00654E9D"/>
    <w:rsid w:val="00655420"/>
    <w:rsid w:val="006555A8"/>
    <w:rsid w:val="006A1DA4"/>
    <w:rsid w:val="006B3E6C"/>
    <w:rsid w:val="006D3CBD"/>
    <w:rsid w:val="006F41CA"/>
    <w:rsid w:val="007170B2"/>
    <w:rsid w:val="00720320"/>
    <w:rsid w:val="00723002"/>
    <w:rsid w:val="00726D2D"/>
    <w:rsid w:val="00754184"/>
    <w:rsid w:val="007627FB"/>
    <w:rsid w:val="007B4BF3"/>
    <w:rsid w:val="007F475F"/>
    <w:rsid w:val="007F76A7"/>
    <w:rsid w:val="008609E7"/>
    <w:rsid w:val="0087734F"/>
    <w:rsid w:val="00880135"/>
    <w:rsid w:val="008A10B3"/>
    <w:rsid w:val="008A67ED"/>
    <w:rsid w:val="008C13E8"/>
    <w:rsid w:val="008C5F67"/>
    <w:rsid w:val="008F0110"/>
    <w:rsid w:val="008F299A"/>
    <w:rsid w:val="009435C1"/>
    <w:rsid w:val="009722AB"/>
    <w:rsid w:val="00A22161"/>
    <w:rsid w:val="00A30F9C"/>
    <w:rsid w:val="00A4477B"/>
    <w:rsid w:val="00A75780"/>
    <w:rsid w:val="00AA01C8"/>
    <w:rsid w:val="00AB63AD"/>
    <w:rsid w:val="00AB6FC8"/>
    <w:rsid w:val="00AD4961"/>
    <w:rsid w:val="00AE19DE"/>
    <w:rsid w:val="00AF6953"/>
    <w:rsid w:val="00B24B76"/>
    <w:rsid w:val="00B501EB"/>
    <w:rsid w:val="00B51146"/>
    <w:rsid w:val="00B90F0C"/>
    <w:rsid w:val="00BA4157"/>
    <w:rsid w:val="00BA6E9D"/>
    <w:rsid w:val="00BB619D"/>
    <w:rsid w:val="00BD475B"/>
    <w:rsid w:val="00BD5A74"/>
    <w:rsid w:val="00BE75D1"/>
    <w:rsid w:val="00C039BB"/>
    <w:rsid w:val="00C22440"/>
    <w:rsid w:val="00C9440B"/>
    <w:rsid w:val="00C97A63"/>
    <w:rsid w:val="00CB2689"/>
    <w:rsid w:val="00CF6B9A"/>
    <w:rsid w:val="00D01C1E"/>
    <w:rsid w:val="00D14C08"/>
    <w:rsid w:val="00D15641"/>
    <w:rsid w:val="00D53E5B"/>
    <w:rsid w:val="00D709E2"/>
    <w:rsid w:val="00D85E74"/>
    <w:rsid w:val="00DC4609"/>
    <w:rsid w:val="00DD15AB"/>
    <w:rsid w:val="00DD1C53"/>
    <w:rsid w:val="00E239AE"/>
    <w:rsid w:val="00E44C7D"/>
    <w:rsid w:val="00E452E1"/>
    <w:rsid w:val="00E50CBC"/>
    <w:rsid w:val="00E5483C"/>
    <w:rsid w:val="00E605A8"/>
    <w:rsid w:val="00E65313"/>
    <w:rsid w:val="00EB1E23"/>
    <w:rsid w:val="00ED7992"/>
    <w:rsid w:val="00EF05A3"/>
    <w:rsid w:val="00F35BF2"/>
    <w:rsid w:val="00F73711"/>
    <w:rsid w:val="00FA5DF2"/>
    <w:rsid w:val="00FD0E67"/>
    <w:rsid w:val="00FD3C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9B76D"/>
  <w15:chartTrackingRefBased/>
  <w15:docId w15:val="{321FA631-3EB3-485B-B762-4BBB3DC7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A62"/>
    <w:pPr>
      <w:ind w:left="720"/>
      <w:contextualSpacing/>
    </w:pPr>
  </w:style>
  <w:style w:type="character" w:styleId="Hyperlink">
    <w:name w:val="Hyperlink"/>
    <w:basedOn w:val="DefaultParagraphFont"/>
    <w:uiPriority w:val="99"/>
    <w:unhideWhenUsed/>
    <w:rsid w:val="00174C93"/>
    <w:rPr>
      <w:color w:val="0000FF"/>
      <w:u w:val="single"/>
    </w:rPr>
  </w:style>
  <w:style w:type="paragraph" w:styleId="Header">
    <w:name w:val="header"/>
    <w:basedOn w:val="Normal"/>
    <w:link w:val="HeaderChar"/>
    <w:uiPriority w:val="99"/>
    <w:unhideWhenUsed/>
    <w:rsid w:val="006F41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1CA"/>
  </w:style>
  <w:style w:type="paragraph" w:styleId="Footer">
    <w:name w:val="footer"/>
    <w:basedOn w:val="Normal"/>
    <w:link w:val="FooterChar"/>
    <w:uiPriority w:val="99"/>
    <w:unhideWhenUsed/>
    <w:rsid w:val="006F41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1CA"/>
  </w:style>
  <w:style w:type="paragraph" w:styleId="EndnoteText">
    <w:name w:val="endnote text"/>
    <w:basedOn w:val="Normal"/>
    <w:link w:val="EndnoteTextChar"/>
    <w:uiPriority w:val="99"/>
    <w:semiHidden/>
    <w:unhideWhenUsed/>
    <w:rsid w:val="00AE19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E19DE"/>
    <w:rPr>
      <w:sz w:val="20"/>
      <w:szCs w:val="20"/>
    </w:rPr>
  </w:style>
  <w:style w:type="character" w:styleId="EndnoteReference">
    <w:name w:val="endnote reference"/>
    <w:basedOn w:val="DefaultParagraphFont"/>
    <w:uiPriority w:val="99"/>
    <w:semiHidden/>
    <w:unhideWhenUsed/>
    <w:rsid w:val="00AE19DE"/>
    <w:rPr>
      <w:vertAlign w:val="superscript"/>
    </w:rPr>
  </w:style>
  <w:style w:type="table" w:styleId="TableGrid">
    <w:name w:val="Table Grid"/>
    <w:basedOn w:val="TableNormal"/>
    <w:uiPriority w:val="59"/>
    <w:rsid w:val="00646F7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67ED"/>
    <w:rPr>
      <w:color w:val="954F72" w:themeColor="followedHyperlink"/>
      <w:u w:val="single"/>
    </w:rPr>
  </w:style>
  <w:style w:type="character" w:styleId="Strong">
    <w:name w:val="Strong"/>
    <w:basedOn w:val="DefaultParagraphFont"/>
    <w:uiPriority w:val="22"/>
    <w:qFormat/>
    <w:rsid w:val="005042DC"/>
    <w:rPr>
      <w:b/>
      <w:bCs/>
    </w:rPr>
  </w:style>
  <w:style w:type="character" w:customStyle="1" w:styleId="hlfld-abstract">
    <w:name w:val="hlfld-abstract"/>
    <w:basedOn w:val="DefaultParagraphFont"/>
    <w:rsid w:val="006A1DA4"/>
  </w:style>
  <w:style w:type="paragraph" w:styleId="BalloonText">
    <w:name w:val="Balloon Text"/>
    <w:basedOn w:val="Normal"/>
    <w:link w:val="BalloonTextChar"/>
    <w:uiPriority w:val="99"/>
    <w:semiHidden/>
    <w:unhideWhenUsed/>
    <w:rsid w:val="00DC46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609"/>
    <w:rPr>
      <w:rFonts w:ascii="Segoe UI" w:hAnsi="Segoe UI" w:cs="Segoe UI"/>
      <w:sz w:val="18"/>
      <w:szCs w:val="18"/>
    </w:rPr>
  </w:style>
  <w:style w:type="character" w:styleId="CommentReference">
    <w:name w:val="annotation reference"/>
    <w:basedOn w:val="DefaultParagraphFont"/>
    <w:uiPriority w:val="99"/>
    <w:semiHidden/>
    <w:unhideWhenUsed/>
    <w:rsid w:val="00ED7992"/>
    <w:rPr>
      <w:sz w:val="16"/>
      <w:szCs w:val="16"/>
    </w:rPr>
  </w:style>
  <w:style w:type="paragraph" w:styleId="CommentText">
    <w:name w:val="annotation text"/>
    <w:basedOn w:val="Normal"/>
    <w:link w:val="CommentTextChar"/>
    <w:uiPriority w:val="99"/>
    <w:semiHidden/>
    <w:unhideWhenUsed/>
    <w:rsid w:val="00ED7992"/>
    <w:pPr>
      <w:spacing w:line="240" w:lineRule="auto"/>
    </w:pPr>
    <w:rPr>
      <w:sz w:val="20"/>
      <w:szCs w:val="20"/>
    </w:rPr>
  </w:style>
  <w:style w:type="character" w:customStyle="1" w:styleId="CommentTextChar">
    <w:name w:val="Comment Text Char"/>
    <w:basedOn w:val="DefaultParagraphFont"/>
    <w:link w:val="CommentText"/>
    <w:uiPriority w:val="99"/>
    <w:semiHidden/>
    <w:rsid w:val="00ED7992"/>
    <w:rPr>
      <w:sz w:val="20"/>
      <w:szCs w:val="20"/>
    </w:rPr>
  </w:style>
  <w:style w:type="paragraph" w:styleId="CommentSubject">
    <w:name w:val="annotation subject"/>
    <w:basedOn w:val="CommentText"/>
    <w:next w:val="CommentText"/>
    <w:link w:val="CommentSubjectChar"/>
    <w:uiPriority w:val="99"/>
    <w:semiHidden/>
    <w:unhideWhenUsed/>
    <w:rsid w:val="00ED7992"/>
    <w:rPr>
      <w:b/>
      <w:bCs/>
    </w:rPr>
  </w:style>
  <w:style w:type="character" w:customStyle="1" w:styleId="CommentSubjectChar">
    <w:name w:val="Comment Subject Char"/>
    <w:basedOn w:val="CommentTextChar"/>
    <w:link w:val="CommentSubject"/>
    <w:uiPriority w:val="99"/>
    <w:semiHidden/>
    <w:rsid w:val="00ED79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6933">
      <w:bodyDiv w:val="1"/>
      <w:marLeft w:val="0"/>
      <w:marRight w:val="0"/>
      <w:marTop w:val="0"/>
      <w:marBottom w:val="0"/>
      <w:divBdr>
        <w:top w:val="none" w:sz="0" w:space="0" w:color="auto"/>
        <w:left w:val="none" w:sz="0" w:space="0" w:color="auto"/>
        <w:bottom w:val="none" w:sz="0" w:space="0" w:color="auto"/>
        <w:right w:val="none" w:sz="0" w:space="0" w:color="auto"/>
      </w:divBdr>
      <w:divsChild>
        <w:div w:id="1560559210">
          <w:marLeft w:val="619"/>
          <w:marRight w:val="0"/>
          <w:marTop w:val="0"/>
          <w:marBottom w:val="0"/>
          <w:divBdr>
            <w:top w:val="none" w:sz="0" w:space="0" w:color="auto"/>
            <w:left w:val="none" w:sz="0" w:space="0" w:color="auto"/>
            <w:bottom w:val="none" w:sz="0" w:space="0" w:color="auto"/>
            <w:right w:val="none" w:sz="0" w:space="0" w:color="auto"/>
          </w:divBdr>
        </w:div>
        <w:div w:id="19480477">
          <w:marLeft w:val="619"/>
          <w:marRight w:val="0"/>
          <w:marTop w:val="0"/>
          <w:marBottom w:val="0"/>
          <w:divBdr>
            <w:top w:val="none" w:sz="0" w:space="0" w:color="auto"/>
            <w:left w:val="none" w:sz="0" w:space="0" w:color="auto"/>
            <w:bottom w:val="none" w:sz="0" w:space="0" w:color="auto"/>
            <w:right w:val="none" w:sz="0" w:space="0" w:color="auto"/>
          </w:divBdr>
        </w:div>
      </w:divsChild>
    </w:div>
    <w:div w:id="45951130">
      <w:bodyDiv w:val="1"/>
      <w:marLeft w:val="0"/>
      <w:marRight w:val="0"/>
      <w:marTop w:val="0"/>
      <w:marBottom w:val="0"/>
      <w:divBdr>
        <w:top w:val="none" w:sz="0" w:space="0" w:color="auto"/>
        <w:left w:val="none" w:sz="0" w:space="0" w:color="auto"/>
        <w:bottom w:val="none" w:sz="0" w:space="0" w:color="auto"/>
        <w:right w:val="none" w:sz="0" w:space="0" w:color="auto"/>
      </w:divBdr>
    </w:div>
    <w:div w:id="636110317">
      <w:bodyDiv w:val="1"/>
      <w:marLeft w:val="0"/>
      <w:marRight w:val="0"/>
      <w:marTop w:val="0"/>
      <w:marBottom w:val="0"/>
      <w:divBdr>
        <w:top w:val="none" w:sz="0" w:space="0" w:color="auto"/>
        <w:left w:val="none" w:sz="0" w:space="0" w:color="auto"/>
        <w:bottom w:val="none" w:sz="0" w:space="0" w:color="auto"/>
        <w:right w:val="none" w:sz="0" w:space="0" w:color="auto"/>
      </w:divBdr>
    </w:div>
    <w:div w:id="685449682">
      <w:bodyDiv w:val="1"/>
      <w:marLeft w:val="0"/>
      <w:marRight w:val="0"/>
      <w:marTop w:val="0"/>
      <w:marBottom w:val="0"/>
      <w:divBdr>
        <w:top w:val="none" w:sz="0" w:space="0" w:color="auto"/>
        <w:left w:val="none" w:sz="0" w:space="0" w:color="auto"/>
        <w:bottom w:val="none" w:sz="0" w:space="0" w:color="auto"/>
        <w:right w:val="none" w:sz="0" w:space="0" w:color="auto"/>
      </w:divBdr>
    </w:div>
    <w:div w:id="756680682">
      <w:bodyDiv w:val="1"/>
      <w:marLeft w:val="0"/>
      <w:marRight w:val="0"/>
      <w:marTop w:val="0"/>
      <w:marBottom w:val="0"/>
      <w:divBdr>
        <w:top w:val="none" w:sz="0" w:space="0" w:color="auto"/>
        <w:left w:val="none" w:sz="0" w:space="0" w:color="auto"/>
        <w:bottom w:val="none" w:sz="0" w:space="0" w:color="auto"/>
        <w:right w:val="none" w:sz="0" w:space="0" w:color="auto"/>
      </w:divBdr>
    </w:div>
    <w:div w:id="810563202">
      <w:bodyDiv w:val="1"/>
      <w:marLeft w:val="0"/>
      <w:marRight w:val="0"/>
      <w:marTop w:val="0"/>
      <w:marBottom w:val="0"/>
      <w:divBdr>
        <w:top w:val="none" w:sz="0" w:space="0" w:color="auto"/>
        <w:left w:val="none" w:sz="0" w:space="0" w:color="auto"/>
        <w:bottom w:val="none" w:sz="0" w:space="0" w:color="auto"/>
        <w:right w:val="none" w:sz="0" w:space="0" w:color="auto"/>
      </w:divBdr>
      <w:divsChild>
        <w:div w:id="1341276712">
          <w:marLeft w:val="547"/>
          <w:marRight w:val="0"/>
          <w:marTop w:val="0"/>
          <w:marBottom w:val="0"/>
          <w:divBdr>
            <w:top w:val="none" w:sz="0" w:space="0" w:color="auto"/>
            <w:left w:val="none" w:sz="0" w:space="0" w:color="auto"/>
            <w:bottom w:val="none" w:sz="0" w:space="0" w:color="auto"/>
            <w:right w:val="none" w:sz="0" w:space="0" w:color="auto"/>
          </w:divBdr>
        </w:div>
        <w:div w:id="959805492">
          <w:marLeft w:val="547"/>
          <w:marRight w:val="0"/>
          <w:marTop w:val="0"/>
          <w:marBottom w:val="0"/>
          <w:divBdr>
            <w:top w:val="none" w:sz="0" w:space="0" w:color="auto"/>
            <w:left w:val="none" w:sz="0" w:space="0" w:color="auto"/>
            <w:bottom w:val="none" w:sz="0" w:space="0" w:color="auto"/>
            <w:right w:val="none" w:sz="0" w:space="0" w:color="auto"/>
          </w:divBdr>
        </w:div>
        <w:div w:id="1340473692">
          <w:marLeft w:val="547"/>
          <w:marRight w:val="0"/>
          <w:marTop w:val="0"/>
          <w:marBottom w:val="0"/>
          <w:divBdr>
            <w:top w:val="none" w:sz="0" w:space="0" w:color="auto"/>
            <w:left w:val="none" w:sz="0" w:space="0" w:color="auto"/>
            <w:bottom w:val="none" w:sz="0" w:space="0" w:color="auto"/>
            <w:right w:val="none" w:sz="0" w:space="0" w:color="auto"/>
          </w:divBdr>
        </w:div>
      </w:divsChild>
    </w:div>
    <w:div w:id="1284851657">
      <w:bodyDiv w:val="1"/>
      <w:marLeft w:val="0"/>
      <w:marRight w:val="0"/>
      <w:marTop w:val="0"/>
      <w:marBottom w:val="0"/>
      <w:divBdr>
        <w:top w:val="none" w:sz="0" w:space="0" w:color="auto"/>
        <w:left w:val="none" w:sz="0" w:space="0" w:color="auto"/>
        <w:bottom w:val="none" w:sz="0" w:space="0" w:color="auto"/>
        <w:right w:val="none" w:sz="0" w:space="0" w:color="auto"/>
      </w:divBdr>
    </w:div>
    <w:div w:id="1312174532">
      <w:bodyDiv w:val="1"/>
      <w:marLeft w:val="0"/>
      <w:marRight w:val="0"/>
      <w:marTop w:val="0"/>
      <w:marBottom w:val="0"/>
      <w:divBdr>
        <w:top w:val="none" w:sz="0" w:space="0" w:color="auto"/>
        <w:left w:val="none" w:sz="0" w:space="0" w:color="auto"/>
        <w:bottom w:val="none" w:sz="0" w:space="0" w:color="auto"/>
        <w:right w:val="none" w:sz="0" w:space="0" w:color="auto"/>
      </w:divBdr>
    </w:div>
    <w:div w:id="1438141885">
      <w:bodyDiv w:val="1"/>
      <w:marLeft w:val="0"/>
      <w:marRight w:val="0"/>
      <w:marTop w:val="0"/>
      <w:marBottom w:val="0"/>
      <w:divBdr>
        <w:top w:val="none" w:sz="0" w:space="0" w:color="auto"/>
        <w:left w:val="none" w:sz="0" w:space="0" w:color="auto"/>
        <w:bottom w:val="none" w:sz="0" w:space="0" w:color="auto"/>
        <w:right w:val="none" w:sz="0" w:space="0" w:color="auto"/>
      </w:divBdr>
    </w:div>
    <w:div w:id="1520509055">
      <w:bodyDiv w:val="1"/>
      <w:marLeft w:val="0"/>
      <w:marRight w:val="0"/>
      <w:marTop w:val="0"/>
      <w:marBottom w:val="0"/>
      <w:divBdr>
        <w:top w:val="none" w:sz="0" w:space="0" w:color="auto"/>
        <w:left w:val="none" w:sz="0" w:space="0" w:color="auto"/>
        <w:bottom w:val="none" w:sz="0" w:space="0" w:color="auto"/>
        <w:right w:val="none" w:sz="0" w:space="0" w:color="auto"/>
      </w:divBdr>
      <w:divsChild>
        <w:div w:id="744883276">
          <w:marLeft w:val="547"/>
          <w:marRight w:val="0"/>
          <w:marTop w:val="154"/>
          <w:marBottom w:val="0"/>
          <w:divBdr>
            <w:top w:val="none" w:sz="0" w:space="0" w:color="auto"/>
            <w:left w:val="none" w:sz="0" w:space="0" w:color="auto"/>
            <w:bottom w:val="none" w:sz="0" w:space="0" w:color="auto"/>
            <w:right w:val="none" w:sz="0" w:space="0" w:color="auto"/>
          </w:divBdr>
        </w:div>
        <w:div w:id="658196569">
          <w:marLeft w:val="547"/>
          <w:marRight w:val="0"/>
          <w:marTop w:val="154"/>
          <w:marBottom w:val="0"/>
          <w:divBdr>
            <w:top w:val="none" w:sz="0" w:space="0" w:color="auto"/>
            <w:left w:val="none" w:sz="0" w:space="0" w:color="auto"/>
            <w:bottom w:val="none" w:sz="0" w:space="0" w:color="auto"/>
            <w:right w:val="none" w:sz="0" w:space="0" w:color="auto"/>
          </w:divBdr>
        </w:div>
        <w:div w:id="687952970">
          <w:marLeft w:val="1166"/>
          <w:marRight w:val="0"/>
          <w:marTop w:val="134"/>
          <w:marBottom w:val="0"/>
          <w:divBdr>
            <w:top w:val="none" w:sz="0" w:space="0" w:color="auto"/>
            <w:left w:val="none" w:sz="0" w:space="0" w:color="auto"/>
            <w:bottom w:val="none" w:sz="0" w:space="0" w:color="auto"/>
            <w:right w:val="none" w:sz="0" w:space="0" w:color="auto"/>
          </w:divBdr>
        </w:div>
        <w:div w:id="769158411">
          <w:marLeft w:val="1166"/>
          <w:marRight w:val="0"/>
          <w:marTop w:val="134"/>
          <w:marBottom w:val="0"/>
          <w:divBdr>
            <w:top w:val="none" w:sz="0" w:space="0" w:color="auto"/>
            <w:left w:val="none" w:sz="0" w:space="0" w:color="auto"/>
            <w:bottom w:val="none" w:sz="0" w:space="0" w:color="auto"/>
            <w:right w:val="none" w:sz="0" w:space="0" w:color="auto"/>
          </w:divBdr>
        </w:div>
      </w:divsChild>
    </w:div>
    <w:div w:id="1523668782">
      <w:bodyDiv w:val="1"/>
      <w:marLeft w:val="0"/>
      <w:marRight w:val="0"/>
      <w:marTop w:val="0"/>
      <w:marBottom w:val="0"/>
      <w:divBdr>
        <w:top w:val="none" w:sz="0" w:space="0" w:color="auto"/>
        <w:left w:val="none" w:sz="0" w:space="0" w:color="auto"/>
        <w:bottom w:val="none" w:sz="0" w:space="0" w:color="auto"/>
        <w:right w:val="none" w:sz="0" w:space="0" w:color="auto"/>
      </w:divBdr>
    </w:div>
    <w:div w:id="1842231908">
      <w:bodyDiv w:val="1"/>
      <w:marLeft w:val="0"/>
      <w:marRight w:val="0"/>
      <w:marTop w:val="0"/>
      <w:marBottom w:val="0"/>
      <w:divBdr>
        <w:top w:val="none" w:sz="0" w:space="0" w:color="auto"/>
        <w:left w:val="none" w:sz="0" w:space="0" w:color="auto"/>
        <w:bottom w:val="none" w:sz="0" w:space="0" w:color="auto"/>
        <w:right w:val="none" w:sz="0" w:space="0" w:color="auto"/>
      </w:divBdr>
    </w:div>
    <w:div w:id="1912428910">
      <w:bodyDiv w:val="1"/>
      <w:marLeft w:val="0"/>
      <w:marRight w:val="0"/>
      <w:marTop w:val="0"/>
      <w:marBottom w:val="0"/>
      <w:divBdr>
        <w:top w:val="none" w:sz="0" w:space="0" w:color="auto"/>
        <w:left w:val="none" w:sz="0" w:space="0" w:color="auto"/>
        <w:bottom w:val="none" w:sz="0" w:space="0" w:color="auto"/>
        <w:right w:val="none" w:sz="0" w:space="0" w:color="auto"/>
      </w:divBdr>
    </w:div>
    <w:div w:id="1990161703">
      <w:bodyDiv w:val="1"/>
      <w:marLeft w:val="0"/>
      <w:marRight w:val="0"/>
      <w:marTop w:val="0"/>
      <w:marBottom w:val="0"/>
      <w:divBdr>
        <w:top w:val="none" w:sz="0" w:space="0" w:color="auto"/>
        <w:left w:val="none" w:sz="0" w:space="0" w:color="auto"/>
        <w:bottom w:val="none" w:sz="0" w:space="0" w:color="auto"/>
        <w:right w:val="none" w:sz="0" w:space="0" w:color="auto"/>
      </w:divBdr>
    </w:div>
    <w:div w:id="202532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mdfa-s3fs-prod.s3-ap-southeast-2.amazonaws.com/s3fs-public/MDFA%20Low%20Vision%20Report%202017.pdf" TargetMode="External"/><Relationship Id="rId7" Type="http://schemas.openxmlformats.org/officeDocument/2006/relationships/hyperlink" Target="https://arthritisaustralia.com.au/accessible-design-division/resources-for-industry/guidelines-research/how-accessible-is-food-drink-packaging-industry-perception-vs-consumer-reality/" TargetMode="External"/><Relationship Id="rId2" Type="http://schemas.openxmlformats.org/officeDocument/2006/relationships/hyperlink" Target="https://www.aihw.gov.au/reports-data/health-conditions-disability-deaths/chronic-disease/overview" TargetMode="External"/><Relationship Id="rId1" Type="http://schemas.openxmlformats.org/officeDocument/2006/relationships/hyperlink" Target="https://www.un.org/disabilities/documents/convention/convoptprot-e.pdf" TargetMode="External"/><Relationship Id="rId6" Type="http://schemas.openxmlformats.org/officeDocument/2006/relationships/hyperlink" Target="https://www.dpc.nsw.gov.au/publications/special-commissions-of-inquiry/special-commission-of-inquiry-into-acute-care-services-in-new-south-wales-public-hospitals/" TargetMode="External"/><Relationship Id="rId5" Type="http://schemas.openxmlformats.org/officeDocument/2006/relationships/hyperlink" Target="https://www.abs.gov.au/ausstats/abs@.nsf/Lookup/by%20Subject/2071.0~2016~Main%20Features~Ageing%20Population~14" TargetMode="External"/><Relationship Id="rId4" Type="http://schemas.openxmlformats.org/officeDocument/2006/relationships/hyperlink" Target="https://www.abs.gov.au/ausstats/abs@.nsf/PrimaryMainFeatures/3222.0?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Emb12</b:Tag>
    <b:SourceType>Book</b:SourceType>
    <b:Guid>{A6CF2240-67D4-4794-BA59-92464177924A}</b:Guid>
    <b:Title>Packaging technology: Fundamentals, materials and processes</b:Title>
    <b:Year>2012</b:Year>
    <b:Author>
      <b:Author>
        <b:NameList>
          <b:Person>
            <b:Last>Emblem</b:Last>
            <b:First>Anne</b:First>
          </b:Person>
        </b:NameList>
      </b:Author>
    </b:Author>
    <b:PublicationTitle> Diploma Unit 1 - Packaging in Today's World, The Functions of Packaging</b:PublicationTitle>
    <b:City>Cambridge</b:City>
    <b:Publisher>Woodhead Publishing in Materials</b:Publisher>
    <b:RefOrder>1</b:RefOrder>
  </b:Source>
  <b:Source>
    <b:Tag>Bri03</b:Tag>
    <b:SourceType>DocumentFromInternetSite</b:SourceType>
    <b:Guid>{352A64E6-8BE6-4AA4-8200-0387AA09C060}</b:Guid>
    <b:Author>
      <b:Author>
        <b:NameList>
          <b:Person>
            <b:Last>Britten</b:Last>
            <b:First>Nick</b:First>
          </b:Person>
        </b:NameList>
      </b:Author>
    </b:Author>
    <b:Title>60,000 are injured by opening packaging</b:Title>
    <b:Year>11 Feb 2003</b:Year>
    <b:InternetSiteTitle>The Telegraph</b:InternetSiteTitle>
    <b:URL>https://www.telegraph.co.uk/news/uknews/1421698/60000-are-injured-by-opening-packaging.html</b:URL>
    <b:YearAccessed>2018</b:YearAccessed>
    <b:MonthAccessed>10</b:MonthAccessed>
    <b:DayAccessed>6</b:DayAccessed>
    <b:RefOrder>40</b:RefOrder>
  </b:Source>
  <b:Source>
    <b:Tag>Can10</b:Tag>
    <b:SourceType>JournalArticle</b:SourceType>
    <b:Guid>{21DE55F7-D49D-4996-B778-938CF0BE4295}</b:Guid>
    <b:Title>Consumer Complaints and Accidents Related to Food Packaging</b:Title>
    <b:JournalName>Packaging Technology and Science 23(7):413</b:JournalName>
    <b:Year>2010</b:Year>
    <b:Author>
      <b:Author>
        <b:NameList>
          <b:Person>
            <b:Last>Caner</b:Last>
            <b:First>Cengiz </b:First>
          </b:Person>
          <b:Person>
            <b:Last> Pascall</b:Last>
            <b:Middle>A.</b:Middle>
            <b:First>Melvin </b:First>
          </b:Person>
        </b:NameList>
      </b:Author>
    </b:Author>
    <b:RefOrder>39</b:RefOrder>
  </b:Source>
  <b:Source>
    <b:Tag>Mag05</b:Tag>
    <b:SourceType>Misc</b:SourceType>
    <b:Guid>{785D5382-A7B7-4A52-9223-904E6574CB9A}</b:Guid>
    <b:Author>
      <b:Author>
        <b:NameList>
          <b:Person>
            <b:Last>Magdalen Galley</b:Last>
            <b:First>Edward</b:First>
            <b:Middle>Elton, Victoria Haines</b:Middle>
          </b:Person>
        </b:NameList>
      </b:Author>
    </b:Author>
    <b:Title>Packaging: a box of delights or a can of worms? The contribution of ergonomics to the usability, safety and semantics of packaging</b:Title>
    <b:Year>2005</b:Year>
    <b:PublicationTitle>FaraPack Briefing 2005 : New Technologies for Innovative Packaging, 12-13 October</b:PublicationTitle>
    <b:RefOrder>38</b:RefOrder>
  </b:Source>
  <b:Source>
    <b:Tag>Jim05</b:Tag>
    <b:SourceType>ArticleInAPeriodical</b:SourceType>
    <b:Guid>{FFC3A9AB-F6C8-48FF-9F62-A7A37CFB3750}</b:Guid>
    <b:Author>
      <b:Author>
        <b:NameList>
          <b:Person>
            <b:Last>George</b:Last>
            <b:First>Jim</b:First>
          </b:Person>
        </b:NameList>
      </b:Author>
    </b:Author>
    <b:Title>On paper, a world of opportunity </b:Title>
    <b:PeriodicalTitle>Packaging World</b:PeriodicalTitle>
    <b:Year>2005</b:Year>
    <b:Month>03</b:Month>
    <b:Day>31</b:Day>
    <b:Pages>https://www.packworld.com/article/food/frozen/paper-world-opportunity</b:Pages>
    <b:RefOrder>43</b:RefOrder>
  </b:Source>
  <b:Source>
    <b:Tag>Ryy14</b:Tag>
    <b:SourceType>JournalArticle</b:SourceType>
    <b:Guid>{F710D972-01B3-49C8-8139-DFAACECB3CB7}</b:Guid>
    <b:Title>Professionals' View of Consumers' Packaging Interactions – A Narrative Analysis</b:Title>
    <b:Year>2014</b:Year>
    <b:JournalName>Wiley Online Library</b:JournalName>
    <b:Volume>https://doi.org/10.1002/pts.2107</b:Volume>
    <b:Author>
      <b:Author>
        <b:NameList>
          <b:Person>
            <b:Last>Ryynänen</b:Last>
            <b:First>Toni </b:First>
          </b:Person>
          <b:Person>
            <b:Last>Rusko</b:Last>
            <b:First> Elina</b:First>
          </b:Person>
        </b:NameList>
      </b:Author>
    </b:Author>
    <b:RefOrder>44</b:RefOrder>
  </b:Source>
  <b:Source>
    <b:Tag>Lyn14</b:Tag>
    <b:SourceType>JournalArticle</b:SourceType>
    <b:Guid>{CA2478CD-1C47-4C43-A0F3-5F9841218ADC}</b:Guid>
    <b:Author>
      <b:Author>
        <b:NameList>
          <b:Person>
            <b:Last>Sudbury-Riley</b:Last>
            <b:First>Lynn</b:First>
          </b:Person>
        </b:NameList>
      </b:Author>
    </b:Author>
    <b:Title>Unwrapping senior consumers’ packaging experiences</b:Title>
    <b:JournalName> Marketing Intelligence &amp; Planning,</b:JournalName>
    <b:Year>2014</b:Year>
    <b:Pages> Vol. 32 Issue: 6, pp.666-686, https://doi.org/10.1108/MIP-02-2013-0027</b:Pages>
    <b:RefOrder>3</b:RefOrder>
  </b:Source>
  <b:Source>
    <b:Tag>Car10</b:Tag>
    <b:SourceType>JournalArticle</b:SourceType>
    <b:Guid>{BD27D652-2110-4DC4-95DE-73578A949B69}</b:Guid>
    <b:Title>Use of biomechanical data in the Inclusive Design process: packaging design and the older adult</b:Title>
    <b:Year>2010</b:Year>
    <b:Author>
      <b:Author>
        <b:NameList>
          <b:Person>
            <b:Last>Carse</b:Last>
            <b:First>Bruce </b:First>
          </b:Person>
          <b:Person>
            <b:Last>Thomson</b:Last>
            <b:First>Avril</b:First>
          </b:Person>
          <b:Person>
            <b:Last>Stansfield</b:Last>
            <b:First>Ben</b:First>
          </b:Person>
        </b:NameList>
      </b:Author>
    </b:Author>
    <b:JournalName>Journal of Engineering Design</b:JournalName>
    <b:Pages>289-303</b:Pages>
    <b:Volume>2-3</b:Volume>
    <b:Issue>21</b:Issue>
    <b:RefOrder>45</b:RefOrder>
  </b:Source>
</b:Sources>
</file>

<file path=customXml/itemProps1.xml><?xml version="1.0" encoding="utf-8"?>
<ds:datastoreItem xmlns:ds="http://schemas.openxmlformats.org/officeDocument/2006/customXml" ds:itemID="{9F4052F2-C4B4-9E4C-8F41-8443178D3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2117</Words>
  <Characters>12067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Marine</dc:creator>
  <cp:keywords/>
  <dc:description/>
  <cp:lastModifiedBy>Hannah Atkin</cp:lastModifiedBy>
  <cp:revision>3</cp:revision>
  <dcterms:created xsi:type="dcterms:W3CDTF">2020-05-25T02:15:00Z</dcterms:created>
  <dcterms:modified xsi:type="dcterms:W3CDTF">2020-05-25T02:18:00Z</dcterms:modified>
</cp:coreProperties>
</file>